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C7" w:rsidRDefault="005073C2" w:rsidP="0054440E">
      <w:pPr>
        <w:spacing w:after="108" w:line="360" w:lineRule="atLeast"/>
        <w:jc w:val="center"/>
        <w:textAlignment w:val="baseline"/>
        <w:outlineLvl w:val="0"/>
        <w:rPr>
          <w:rFonts w:eastAsia="Times New Roman" w:cs="Arial"/>
          <w:noProof/>
          <w:spacing w:val="1"/>
          <w:kern w:val="36"/>
          <w:sz w:val="32"/>
          <w:szCs w:val="32"/>
          <w:lang w:eastAsia="en-AU"/>
        </w:rPr>
      </w:pPr>
      <w:r>
        <w:rPr>
          <w:rFonts w:eastAsia="Times New Roman" w:cs="Arial"/>
          <w:noProof/>
          <w:spacing w:val="1"/>
          <w:kern w:val="36"/>
          <w:sz w:val="32"/>
          <w:szCs w:val="32"/>
          <w:lang w:eastAsia="en-AU"/>
        </w:rPr>
        <w:drawing>
          <wp:inline distT="0" distB="0" distL="0" distR="0">
            <wp:extent cx="3172888" cy="540000"/>
            <wp:effectExtent l="19050" t="0" r="8462" b="0"/>
            <wp:docPr id="3" name="Picture 1" descr="H:\intranet tasks\templates\Word Templates\Dept the Environment 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ranet tasks\templates\Word Templates\Dept the Environment inline.png"/>
                    <pic:cNvPicPr>
                      <a:picLocks noChangeAspect="1" noChangeArrowheads="1"/>
                    </pic:cNvPicPr>
                  </pic:nvPicPr>
                  <pic:blipFill>
                    <a:blip r:embed="rId7" cstate="print"/>
                    <a:stretch>
                      <a:fillRect/>
                    </a:stretch>
                  </pic:blipFill>
                  <pic:spPr bwMode="auto">
                    <a:xfrm>
                      <a:off x="0" y="0"/>
                      <a:ext cx="3172888" cy="540000"/>
                    </a:xfrm>
                    <a:prstGeom prst="rect">
                      <a:avLst/>
                    </a:prstGeom>
                    <a:noFill/>
                    <a:ln w="9525">
                      <a:noFill/>
                      <a:miter lim="800000"/>
                      <a:headEnd/>
                      <a:tailEnd/>
                    </a:ln>
                  </pic:spPr>
                </pic:pic>
              </a:graphicData>
            </a:graphic>
          </wp:inline>
        </w:drawing>
      </w:r>
      <w:bookmarkStart w:id="0" w:name="_GoBack"/>
      <w:bookmarkEnd w:id="0"/>
    </w:p>
    <w:p w:rsidR="001665B9" w:rsidRDefault="001665B9" w:rsidP="006618D0">
      <w:pPr>
        <w:spacing w:after="108" w:line="360" w:lineRule="atLeast"/>
        <w:textAlignment w:val="baseline"/>
        <w:outlineLvl w:val="0"/>
        <w:rPr>
          <w:rFonts w:eastAsia="Times New Roman" w:cs="Arial"/>
          <w:spacing w:val="1"/>
          <w:kern w:val="36"/>
          <w:sz w:val="32"/>
          <w:szCs w:val="32"/>
          <w:lang w:eastAsia="en-AU"/>
        </w:rPr>
      </w:pPr>
      <w:bookmarkStart w:id="1" w:name="OLE_LINK1"/>
      <w:bookmarkStart w:id="2" w:name="OLE_LINK2"/>
    </w:p>
    <w:p w:rsidR="006618D0" w:rsidRDefault="006618D0" w:rsidP="002F034F">
      <w:pPr>
        <w:spacing w:after="108" w:line="360" w:lineRule="atLeast"/>
        <w:jc w:val="center"/>
        <w:textAlignment w:val="baseline"/>
        <w:outlineLvl w:val="0"/>
        <w:rPr>
          <w:rFonts w:eastAsia="Times New Roman" w:cs="Arial"/>
          <w:spacing w:val="1"/>
          <w:kern w:val="36"/>
          <w:sz w:val="32"/>
          <w:szCs w:val="32"/>
          <w:lang w:eastAsia="en-AU"/>
        </w:rPr>
      </w:pPr>
      <w:r w:rsidRPr="00112838">
        <w:rPr>
          <w:rFonts w:eastAsia="Times New Roman" w:cs="Arial"/>
          <w:spacing w:val="1"/>
          <w:kern w:val="36"/>
          <w:sz w:val="32"/>
          <w:szCs w:val="32"/>
          <w:lang w:eastAsia="en-AU"/>
        </w:rPr>
        <w:t xml:space="preserve">Cost </w:t>
      </w:r>
      <w:r w:rsidR="0054440E">
        <w:rPr>
          <w:rFonts w:eastAsia="Times New Roman" w:cs="Arial"/>
          <w:spacing w:val="1"/>
          <w:kern w:val="36"/>
          <w:sz w:val="32"/>
          <w:szCs w:val="32"/>
          <w:lang w:eastAsia="en-AU"/>
        </w:rPr>
        <w:t>r</w:t>
      </w:r>
      <w:r w:rsidRPr="00112838">
        <w:rPr>
          <w:rFonts w:eastAsia="Times New Roman" w:cs="Arial"/>
          <w:spacing w:val="1"/>
          <w:kern w:val="36"/>
          <w:sz w:val="32"/>
          <w:szCs w:val="32"/>
          <w:lang w:eastAsia="en-AU"/>
        </w:rPr>
        <w:t xml:space="preserve">ecovery </w:t>
      </w:r>
      <w:r w:rsidR="0054440E">
        <w:rPr>
          <w:rFonts w:eastAsia="Times New Roman" w:cs="Arial"/>
          <w:spacing w:val="1"/>
          <w:kern w:val="36"/>
          <w:sz w:val="32"/>
          <w:szCs w:val="32"/>
          <w:lang w:eastAsia="en-AU"/>
        </w:rPr>
        <w:t xml:space="preserve">for environmental assessments </w:t>
      </w:r>
      <w:r w:rsidRPr="00112838">
        <w:rPr>
          <w:rFonts w:eastAsia="Times New Roman" w:cs="Arial"/>
          <w:spacing w:val="1"/>
          <w:kern w:val="36"/>
          <w:sz w:val="32"/>
          <w:szCs w:val="32"/>
          <w:lang w:eastAsia="en-AU"/>
        </w:rPr>
        <w:t xml:space="preserve">under the </w:t>
      </w:r>
      <w:r w:rsidR="00B75361" w:rsidRPr="00B75361">
        <w:rPr>
          <w:rFonts w:eastAsia="Times New Roman" w:cs="Arial"/>
          <w:i/>
          <w:spacing w:val="1"/>
          <w:kern w:val="36"/>
          <w:sz w:val="32"/>
          <w:szCs w:val="32"/>
          <w:lang w:eastAsia="en-AU"/>
        </w:rPr>
        <w:t>Environment Protection and Biodiversity Conservation Act 1999</w:t>
      </w:r>
      <w:r w:rsidRPr="00112838">
        <w:rPr>
          <w:rFonts w:eastAsia="Times New Roman" w:cs="Arial"/>
          <w:spacing w:val="1"/>
          <w:kern w:val="36"/>
          <w:sz w:val="32"/>
          <w:szCs w:val="32"/>
          <w:lang w:eastAsia="en-AU"/>
        </w:rPr>
        <w:t xml:space="preserve"> </w:t>
      </w:r>
    </w:p>
    <w:p w:rsidR="00E70C22" w:rsidRDefault="00E70C22" w:rsidP="006618D0">
      <w:pPr>
        <w:spacing w:after="108" w:line="360" w:lineRule="atLeast"/>
        <w:textAlignment w:val="baseline"/>
        <w:outlineLvl w:val="0"/>
        <w:rPr>
          <w:rFonts w:eastAsia="Times New Roman" w:cs="Arial"/>
          <w:spacing w:val="1"/>
          <w:kern w:val="36"/>
          <w:sz w:val="32"/>
          <w:szCs w:val="32"/>
          <w:lang w:eastAsia="en-AU"/>
        </w:rPr>
      </w:pPr>
    </w:p>
    <w:p w:rsidR="005F0E4C" w:rsidRDefault="0065328F" w:rsidP="00E70C22">
      <w:pPr>
        <w:spacing w:after="108" w:line="360" w:lineRule="atLeast"/>
        <w:jc w:val="center"/>
        <w:textAlignment w:val="baseline"/>
        <w:outlineLvl w:val="0"/>
        <w:rPr>
          <w:rFonts w:eastAsia="Times New Roman" w:cs="Arial"/>
          <w:spacing w:val="1"/>
          <w:kern w:val="36"/>
          <w:sz w:val="32"/>
          <w:szCs w:val="32"/>
          <w:lang w:eastAsia="en-AU"/>
        </w:rPr>
      </w:pPr>
      <w:r>
        <w:rPr>
          <w:rFonts w:eastAsia="Times New Roman" w:cs="Arial"/>
          <w:spacing w:val="1"/>
          <w:kern w:val="36"/>
          <w:sz w:val="32"/>
          <w:szCs w:val="32"/>
          <w:lang w:eastAsia="en-AU"/>
        </w:rPr>
        <w:t>Frequently Asked Questions</w:t>
      </w:r>
    </w:p>
    <w:bookmarkEnd w:id="1"/>
    <w:bookmarkEnd w:id="2"/>
    <w:p w:rsidR="00E70C22" w:rsidRPr="00112838" w:rsidRDefault="00E70C22" w:rsidP="00E70C22">
      <w:pPr>
        <w:spacing w:after="108" w:line="360" w:lineRule="atLeast"/>
        <w:jc w:val="center"/>
        <w:textAlignment w:val="baseline"/>
        <w:outlineLvl w:val="0"/>
        <w:rPr>
          <w:rFonts w:eastAsia="Times New Roman" w:cs="Arial"/>
          <w:spacing w:val="1"/>
          <w:kern w:val="36"/>
          <w:sz w:val="32"/>
          <w:szCs w:val="32"/>
          <w:lang w:eastAsia="en-AU"/>
        </w:rPr>
      </w:pPr>
    </w:p>
    <w:p w:rsidR="006618D0" w:rsidRPr="00112838" w:rsidRDefault="006618D0" w:rsidP="009421C8">
      <w:pPr>
        <w:spacing w:after="0" w:line="360" w:lineRule="atLeast"/>
        <w:textAlignment w:val="baseline"/>
        <w:rPr>
          <w:rFonts w:eastAsia="Times New Roman" w:cs="Arial"/>
          <w:sz w:val="19"/>
          <w:szCs w:val="19"/>
          <w:lang w:eastAsia="en-AU"/>
        </w:rPr>
      </w:pPr>
      <w:r w:rsidRPr="00112838">
        <w:rPr>
          <w:rFonts w:eastAsia="Times New Roman" w:cs="Arial"/>
          <w:sz w:val="19"/>
          <w:szCs w:val="19"/>
          <w:lang w:eastAsia="en-AU"/>
        </w:rPr>
        <w:t xml:space="preserve">Department of </w:t>
      </w:r>
      <w:r w:rsidR="00CF104F" w:rsidRPr="00112838">
        <w:rPr>
          <w:rFonts w:eastAsia="Times New Roman" w:cs="Arial"/>
          <w:sz w:val="19"/>
          <w:szCs w:val="19"/>
          <w:lang w:eastAsia="en-AU"/>
        </w:rPr>
        <w:t>the Environment</w:t>
      </w:r>
      <w:r w:rsidR="004F7A60">
        <w:rPr>
          <w:rFonts w:eastAsia="Times New Roman" w:cs="Arial"/>
          <w:sz w:val="19"/>
          <w:szCs w:val="19"/>
          <w:lang w:eastAsia="en-AU"/>
        </w:rPr>
        <w:t xml:space="preserve"> and Energy</w:t>
      </w:r>
      <w:r w:rsidRPr="00112838">
        <w:rPr>
          <w:rFonts w:eastAsia="Times New Roman" w:cs="Arial"/>
          <w:sz w:val="19"/>
          <w:szCs w:val="19"/>
          <w:lang w:eastAsia="en-AU"/>
        </w:rPr>
        <w:t xml:space="preserve">, </w:t>
      </w:r>
      <w:r w:rsidR="0096573D">
        <w:rPr>
          <w:rFonts w:eastAsia="Times New Roman" w:cs="Arial"/>
          <w:sz w:val="19"/>
          <w:szCs w:val="19"/>
          <w:lang w:eastAsia="en-AU"/>
        </w:rPr>
        <w:t>October</w:t>
      </w:r>
      <w:r w:rsidR="00F94060">
        <w:rPr>
          <w:rFonts w:eastAsia="Times New Roman" w:cs="Arial"/>
          <w:sz w:val="19"/>
          <w:szCs w:val="19"/>
          <w:lang w:eastAsia="en-AU"/>
        </w:rPr>
        <w:t xml:space="preserve"> 2016</w:t>
      </w:r>
      <w:r w:rsidR="00974E5B">
        <w:rPr>
          <w:rFonts w:eastAsia="Times New Roman" w:cs="Arial"/>
          <w:sz w:val="19"/>
          <w:szCs w:val="19"/>
          <w:lang w:eastAsia="en-AU"/>
        </w:rPr>
        <w:pict>
          <v:rect id="_x0000_i1025" style="width:0;height:.75pt" o:hralign="center" o:hrstd="t" o:hr="t" fillcolor="#a0a0a0" stroked="f"/>
        </w:pict>
      </w:r>
    </w:p>
    <w:p w:rsidR="004F3494" w:rsidRDefault="00885277">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885277">
        <w:rPr>
          <w:rFonts w:eastAsia="Times New Roman" w:cs="Arial"/>
          <w:sz w:val="29"/>
          <w:szCs w:val="29"/>
          <w:lang w:eastAsia="en-AU"/>
        </w:rPr>
        <w:t>What is cost recovery?</w:t>
      </w:r>
    </w:p>
    <w:p w:rsidR="009B67C0" w:rsidRPr="00712E17" w:rsidRDefault="00FF331C" w:rsidP="002F034F">
      <w:pPr>
        <w:rPr>
          <w:lang w:eastAsia="en-AU"/>
        </w:rPr>
      </w:pPr>
      <w:r w:rsidRPr="00112838">
        <w:rPr>
          <w:lang w:eastAsia="en-AU"/>
        </w:rPr>
        <w:t>Cost recovery</w:t>
      </w:r>
      <w:r w:rsidR="00D729A7">
        <w:rPr>
          <w:lang w:eastAsia="en-AU"/>
        </w:rPr>
        <w:t xml:space="preserve"> </w:t>
      </w:r>
      <w:r w:rsidR="00BC6A69">
        <w:rPr>
          <w:lang w:eastAsia="en-AU"/>
        </w:rPr>
        <w:t>is the charging of</w:t>
      </w:r>
      <w:r w:rsidR="00D729A7">
        <w:rPr>
          <w:lang w:eastAsia="en-AU"/>
        </w:rPr>
        <w:t xml:space="preserve"> </w:t>
      </w:r>
      <w:r w:rsidRPr="00112838">
        <w:rPr>
          <w:lang w:eastAsia="en-AU"/>
        </w:rPr>
        <w:t>a fee to cover the cost of specific services provided by the Australian Government for work that benefits particular groups or individuals.</w:t>
      </w:r>
      <w:r w:rsidR="00163D5E">
        <w:rPr>
          <w:lang w:eastAsia="en-AU"/>
        </w:rPr>
        <w:t xml:space="preserve"> </w:t>
      </w:r>
      <w:r w:rsidR="00005445">
        <w:rPr>
          <w:lang w:eastAsia="en-AU"/>
        </w:rPr>
        <w:t xml:space="preserve">The </w:t>
      </w:r>
      <w:hyperlink r:id="rId8" w:history="1">
        <w:r w:rsidR="00885277" w:rsidRPr="00885277">
          <w:rPr>
            <w:rStyle w:val="Hyperlink"/>
            <w:i/>
            <w:sz w:val="22"/>
            <w:szCs w:val="22"/>
            <w:bdr w:val="none" w:sz="0" w:space="0" w:color="auto"/>
          </w:rPr>
          <w:t>Australian Government Cost Recovery Guidelines</w:t>
        </w:r>
      </w:hyperlink>
      <w:r w:rsidR="00005445">
        <w:rPr>
          <w:lang w:eastAsia="en-AU"/>
        </w:rPr>
        <w:t xml:space="preserve"> set out the </w:t>
      </w:r>
      <w:r w:rsidR="00E70C22">
        <w:rPr>
          <w:lang w:eastAsia="en-AU"/>
        </w:rPr>
        <w:t>policy objectives</w:t>
      </w:r>
      <w:r w:rsidR="00005445">
        <w:rPr>
          <w:lang w:eastAsia="en-AU"/>
        </w:rPr>
        <w:t xml:space="preserve"> for the Commonwealth’s cost recovery activities</w:t>
      </w:r>
      <w:r w:rsidR="00E70C22">
        <w:rPr>
          <w:lang w:eastAsia="en-AU"/>
        </w:rPr>
        <w:t>, including that</w:t>
      </w:r>
      <w:r w:rsidR="002F034F">
        <w:rPr>
          <w:lang w:eastAsia="en-AU"/>
        </w:rPr>
        <w:t xml:space="preserve"> </w:t>
      </w:r>
      <w:r w:rsidR="009B67C0" w:rsidRPr="00712E17">
        <w:rPr>
          <w:lang w:eastAsia="en-AU"/>
        </w:rPr>
        <w:t xml:space="preserve">those who create the need for regulation should incur the costs, rather than </w:t>
      </w:r>
      <w:r w:rsidR="009B67C0">
        <w:rPr>
          <w:lang w:eastAsia="en-AU"/>
        </w:rPr>
        <w:t xml:space="preserve">the costs </w:t>
      </w:r>
      <w:r w:rsidR="009B67C0" w:rsidRPr="00712E17">
        <w:rPr>
          <w:lang w:eastAsia="en-AU"/>
        </w:rPr>
        <w:t>being borne by the wider community</w:t>
      </w:r>
      <w:r w:rsidR="002F034F">
        <w:rPr>
          <w:lang w:eastAsia="en-AU"/>
        </w:rPr>
        <w:t>.</w:t>
      </w:r>
    </w:p>
    <w:p w:rsidR="002F034F" w:rsidRDefault="002F034F" w:rsidP="002F034F">
      <w:pPr>
        <w:pStyle w:val="ListBullet"/>
        <w:numPr>
          <w:ilvl w:val="0"/>
          <w:numId w:val="0"/>
        </w:numPr>
        <w:rPr>
          <w:lang w:eastAsia="en-AU"/>
        </w:rPr>
      </w:pPr>
      <w:r>
        <w:rPr>
          <w:lang w:eastAsia="en-AU"/>
        </w:rPr>
        <w:t>T</w:t>
      </w:r>
      <w:r w:rsidR="009B67C0">
        <w:rPr>
          <w:lang w:eastAsia="en-AU"/>
        </w:rPr>
        <w:t xml:space="preserve">he implementation of cost recovery for environmental assessments </w:t>
      </w:r>
      <w:r w:rsidRPr="00712E17">
        <w:rPr>
          <w:lang w:eastAsia="en-AU"/>
        </w:rPr>
        <w:t xml:space="preserve">under the </w:t>
      </w:r>
      <w:r w:rsidR="00D14F11" w:rsidRPr="00D14F11">
        <w:rPr>
          <w:i/>
          <w:lang w:eastAsia="en-AU"/>
        </w:rPr>
        <w:t>Environment Protection and Biodiversity Conservation Act 1999</w:t>
      </w:r>
      <w:r w:rsidR="00D14F11">
        <w:rPr>
          <w:lang w:eastAsia="en-AU"/>
        </w:rPr>
        <w:t xml:space="preserve"> (EPBC Act)</w:t>
      </w:r>
      <w:r w:rsidRPr="00712E17">
        <w:rPr>
          <w:lang w:eastAsia="en-AU"/>
        </w:rPr>
        <w:t xml:space="preserve"> </w:t>
      </w:r>
      <w:r>
        <w:rPr>
          <w:lang w:eastAsia="en-AU"/>
        </w:rPr>
        <w:t>result</w:t>
      </w:r>
      <w:r w:rsidR="00EA2CB4">
        <w:rPr>
          <w:lang w:eastAsia="en-AU"/>
        </w:rPr>
        <w:t>s</w:t>
      </w:r>
      <w:r>
        <w:rPr>
          <w:lang w:eastAsia="en-AU"/>
        </w:rPr>
        <w:t xml:space="preserve"> in: </w:t>
      </w:r>
    </w:p>
    <w:p w:rsidR="002F034F" w:rsidRDefault="002F034F" w:rsidP="00C605D4">
      <w:pPr>
        <w:pStyle w:val="ListBullet"/>
        <w:rPr>
          <w:lang w:eastAsia="en-AU"/>
        </w:rPr>
      </w:pPr>
      <w:r w:rsidRPr="00712E17">
        <w:rPr>
          <w:lang w:eastAsia="en-AU"/>
        </w:rPr>
        <w:t xml:space="preserve">each </w:t>
      </w:r>
      <w:r>
        <w:rPr>
          <w:lang w:val="en-US"/>
        </w:rPr>
        <w:t xml:space="preserve">person proposing to take an action that will have or is likely to have a significant impact on a matter of national environmental significance will </w:t>
      </w:r>
      <w:r w:rsidRPr="00712E17">
        <w:rPr>
          <w:lang w:eastAsia="en-AU"/>
        </w:rPr>
        <w:t>pay for the services required to assess their application</w:t>
      </w:r>
      <w:r w:rsidR="00C605D4">
        <w:rPr>
          <w:lang w:eastAsia="en-AU"/>
        </w:rPr>
        <w:t>; and</w:t>
      </w:r>
    </w:p>
    <w:p w:rsidR="009B67C0" w:rsidRPr="00112838" w:rsidRDefault="009B67C0" w:rsidP="00C605D4">
      <w:pPr>
        <w:pStyle w:val="ListBullet"/>
        <w:rPr>
          <w:lang w:eastAsia="en-AU"/>
        </w:rPr>
      </w:pPr>
      <w:r>
        <w:rPr>
          <w:lang w:eastAsia="en-AU"/>
        </w:rPr>
        <w:t>a</w:t>
      </w:r>
      <w:r w:rsidRPr="00112838">
        <w:rPr>
          <w:lang w:eastAsia="en-AU"/>
        </w:rPr>
        <w:t xml:space="preserve"> more equitable </w:t>
      </w:r>
      <w:r>
        <w:rPr>
          <w:lang w:eastAsia="en-AU"/>
        </w:rPr>
        <w:t>sharing</w:t>
      </w:r>
      <w:r w:rsidRPr="00112838">
        <w:rPr>
          <w:lang w:eastAsia="en-AU"/>
        </w:rPr>
        <w:t xml:space="preserve"> of the cost of protecting the environment between the community and those who </w:t>
      </w:r>
      <w:r>
        <w:rPr>
          <w:lang w:eastAsia="en-AU"/>
        </w:rPr>
        <w:t>obtain</w:t>
      </w:r>
      <w:r w:rsidRPr="00112838">
        <w:rPr>
          <w:lang w:eastAsia="en-AU"/>
        </w:rPr>
        <w:t xml:space="preserve"> a private </w:t>
      </w:r>
      <w:r w:rsidRPr="002E1899">
        <w:rPr>
          <w:lang w:eastAsia="en-AU"/>
        </w:rPr>
        <w:t>benefit</w:t>
      </w:r>
      <w:r>
        <w:rPr>
          <w:lang w:eastAsia="en-AU"/>
        </w:rPr>
        <w:t xml:space="preserve"> from environmental assessments</w:t>
      </w:r>
      <w:r w:rsidRPr="002E1899">
        <w:rPr>
          <w:lang w:eastAsia="en-AU"/>
        </w:rPr>
        <w:t>.</w:t>
      </w:r>
    </w:p>
    <w:p w:rsidR="004F3494" w:rsidRDefault="00885277">
      <w:pPr>
        <w:pStyle w:val="ListParagraph"/>
        <w:numPr>
          <w:ilvl w:val="0"/>
          <w:numId w:val="16"/>
        </w:numPr>
        <w:spacing w:before="264" w:after="108" w:line="360" w:lineRule="atLeast"/>
        <w:textAlignment w:val="baseline"/>
        <w:outlineLvl w:val="1"/>
        <w:rPr>
          <w:sz w:val="29"/>
          <w:szCs w:val="29"/>
          <w:lang w:eastAsia="en-AU"/>
        </w:rPr>
      </w:pPr>
      <w:r w:rsidRPr="00885277">
        <w:rPr>
          <w:rFonts w:eastAsia="Times New Roman" w:cs="Arial"/>
          <w:sz w:val="29"/>
          <w:szCs w:val="29"/>
          <w:lang w:eastAsia="en-AU"/>
        </w:rPr>
        <w:t>When</w:t>
      </w:r>
      <w:r w:rsidR="009B67C0">
        <w:rPr>
          <w:sz w:val="29"/>
          <w:szCs w:val="29"/>
          <w:lang w:eastAsia="en-AU"/>
        </w:rPr>
        <w:t xml:space="preserve"> did cost </w:t>
      </w:r>
      <w:r w:rsidRPr="00885277">
        <w:rPr>
          <w:rFonts w:eastAsia="Times New Roman" w:cs="Arial"/>
          <w:sz w:val="29"/>
          <w:szCs w:val="29"/>
          <w:lang w:eastAsia="en-AU"/>
        </w:rPr>
        <w:t>recovery c</w:t>
      </w:r>
      <w:r w:rsidR="009B67C0">
        <w:rPr>
          <w:sz w:val="29"/>
          <w:szCs w:val="29"/>
          <w:lang w:eastAsia="en-AU"/>
        </w:rPr>
        <w:t>ommence?</w:t>
      </w:r>
    </w:p>
    <w:p w:rsidR="00241F76" w:rsidRDefault="00241F76" w:rsidP="00241F76">
      <w:pPr>
        <w:rPr>
          <w:lang w:eastAsia="en-AU"/>
        </w:rPr>
      </w:pPr>
      <w:r w:rsidRPr="00DE38DF">
        <w:rPr>
          <w:lang w:eastAsia="en-AU"/>
        </w:rPr>
        <w:t>Cost recovery for environmental assessments</w:t>
      </w:r>
      <w:r w:rsidR="00B94F67">
        <w:rPr>
          <w:lang w:eastAsia="en-AU"/>
        </w:rPr>
        <w:t xml:space="preserve"> and </w:t>
      </w:r>
      <w:r>
        <w:rPr>
          <w:lang w:eastAsia="en-AU"/>
        </w:rPr>
        <w:t xml:space="preserve">some </w:t>
      </w:r>
      <w:r w:rsidRPr="00DE38DF">
        <w:rPr>
          <w:lang w:eastAsia="en-AU"/>
        </w:rPr>
        <w:t>strategic assessments</w:t>
      </w:r>
      <w:r>
        <w:rPr>
          <w:lang w:eastAsia="en-AU"/>
        </w:rPr>
        <w:t xml:space="preserve"> </w:t>
      </w:r>
      <w:r w:rsidR="009328A7">
        <w:rPr>
          <w:lang w:eastAsia="en-AU"/>
        </w:rPr>
        <w:t xml:space="preserve">commenced </w:t>
      </w:r>
      <w:r>
        <w:rPr>
          <w:lang w:eastAsia="en-AU"/>
        </w:rPr>
        <w:t>on 1 October 2014.</w:t>
      </w:r>
      <w:r w:rsidR="00434AB3">
        <w:rPr>
          <w:lang w:eastAsia="en-AU"/>
        </w:rPr>
        <w:t xml:space="preserve"> Revised cost recovery arrangements commenced on 1 October 2016 (see FAQ #5). </w:t>
      </w:r>
    </w:p>
    <w:p w:rsidR="004F3494" w:rsidRDefault="00CB2E1D" w:rsidP="00C605D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Pr>
          <w:rFonts w:eastAsia="Times New Roman" w:cs="Arial"/>
          <w:sz w:val="29"/>
          <w:szCs w:val="29"/>
          <w:lang w:eastAsia="en-AU"/>
        </w:rPr>
        <w:t>What about projects referred prior to 1 October 2014</w:t>
      </w:r>
      <w:r w:rsidRPr="00112838">
        <w:rPr>
          <w:rFonts w:eastAsia="Times New Roman" w:cs="Arial"/>
          <w:sz w:val="29"/>
          <w:szCs w:val="29"/>
          <w:lang w:eastAsia="en-AU"/>
        </w:rPr>
        <w:t>?</w:t>
      </w:r>
    </w:p>
    <w:p w:rsidR="00CB2E1D" w:rsidRDefault="00CB2E1D" w:rsidP="00CB2E1D">
      <w:pPr>
        <w:rPr>
          <w:rFonts w:cs="Arial"/>
          <w:lang w:eastAsia="en-AU"/>
        </w:rPr>
      </w:pPr>
      <w:r>
        <w:rPr>
          <w:lang w:eastAsia="en-AU"/>
        </w:rPr>
        <w:t xml:space="preserve">Fees for assessment activities apply to any action referred under Part 7 of the EPBC Act on or after </w:t>
      </w:r>
      <w:r w:rsidRPr="009A7B88">
        <w:rPr>
          <w:lang w:eastAsia="en-AU"/>
        </w:rPr>
        <w:t xml:space="preserve">14 May </w:t>
      </w:r>
      <w:r w:rsidRPr="0006678D">
        <w:rPr>
          <w:rFonts w:cs="Arial"/>
          <w:lang w:eastAsia="en-AU"/>
        </w:rPr>
        <w:t>2014</w:t>
      </w:r>
      <w:r>
        <w:rPr>
          <w:rFonts w:cs="Arial"/>
          <w:lang w:eastAsia="en-AU"/>
        </w:rPr>
        <w:t xml:space="preserve">, </w:t>
      </w:r>
      <w:r w:rsidR="00C605D4">
        <w:rPr>
          <w:rFonts w:cs="Arial"/>
          <w:lang w:eastAsia="en-AU"/>
        </w:rPr>
        <w:t>and for</w:t>
      </w:r>
      <w:r>
        <w:rPr>
          <w:rFonts w:cs="Arial"/>
          <w:lang w:eastAsia="en-AU"/>
        </w:rPr>
        <w:t xml:space="preserve"> assessment work undertaken on or after 1 October 2014. </w:t>
      </w:r>
      <w:r w:rsidRPr="0006678D">
        <w:rPr>
          <w:rFonts w:cs="Arial"/>
          <w:lang w:eastAsia="en-AU"/>
        </w:rPr>
        <w:t xml:space="preserve"> </w:t>
      </w:r>
    </w:p>
    <w:p w:rsidR="00CB2E1D" w:rsidRDefault="00CB2E1D" w:rsidP="00CB2E1D">
      <w:pPr>
        <w:rPr>
          <w:rFonts w:cs="Arial"/>
          <w:lang w:eastAsia="en-AU"/>
        </w:rPr>
      </w:pPr>
      <w:r w:rsidRPr="00435F8E">
        <w:rPr>
          <w:rFonts w:cs="Arial"/>
          <w:lang w:eastAsia="en-AU"/>
        </w:rPr>
        <w:t xml:space="preserve">For example, if Project X was referred on 4 June 2014, it will not be subject to a cost recovery fee at the referral stage. </w:t>
      </w:r>
      <w:r>
        <w:rPr>
          <w:rFonts w:cs="Arial"/>
          <w:lang w:eastAsia="en-AU"/>
        </w:rPr>
        <w:t>If Project X was deemed a controlled action, a</w:t>
      </w:r>
      <w:r w:rsidRPr="00435F8E">
        <w:rPr>
          <w:rFonts w:cs="Arial"/>
          <w:lang w:eastAsia="en-AU"/>
        </w:rPr>
        <w:t xml:space="preserve">ssessment fees will be payable </w:t>
      </w:r>
      <w:r>
        <w:rPr>
          <w:rFonts w:cs="Arial"/>
          <w:lang w:eastAsia="en-AU"/>
        </w:rPr>
        <w:t>for each</w:t>
      </w:r>
      <w:r w:rsidRPr="00435F8E">
        <w:rPr>
          <w:rFonts w:cs="Arial"/>
          <w:lang w:eastAsia="en-AU"/>
        </w:rPr>
        <w:t xml:space="preserve"> stage of the assessment process </w:t>
      </w:r>
      <w:r>
        <w:rPr>
          <w:rFonts w:cs="Arial"/>
          <w:lang w:eastAsia="en-AU"/>
        </w:rPr>
        <w:t>beginning on or after 1 October 2014</w:t>
      </w:r>
      <w:r w:rsidRPr="00435F8E">
        <w:rPr>
          <w:rFonts w:cs="Arial"/>
          <w:lang w:eastAsia="en-AU"/>
        </w:rPr>
        <w:t>.</w:t>
      </w:r>
    </w:p>
    <w:p w:rsidR="00CB2E1D" w:rsidRDefault="00CB2E1D" w:rsidP="00CB2E1D">
      <w:pPr>
        <w:rPr>
          <w:rFonts w:eastAsia="Times New Roman" w:cs="Arial"/>
          <w:lang w:eastAsia="en-AU"/>
        </w:rPr>
      </w:pPr>
      <w:r w:rsidRPr="0006678D">
        <w:rPr>
          <w:rFonts w:eastAsia="Times New Roman" w:cs="Arial"/>
          <w:lang w:eastAsia="en-AU"/>
        </w:rPr>
        <w:t xml:space="preserve">If an action is referred on or after </w:t>
      </w:r>
      <w:r>
        <w:rPr>
          <w:rFonts w:eastAsia="Times New Roman" w:cs="Arial"/>
          <w:lang w:eastAsia="en-AU"/>
        </w:rPr>
        <w:t>1 October 2014,</w:t>
      </w:r>
      <w:r w:rsidRPr="0006678D">
        <w:rPr>
          <w:rFonts w:eastAsia="Times New Roman" w:cs="Arial"/>
          <w:lang w:eastAsia="en-AU"/>
        </w:rPr>
        <w:t xml:space="preserve"> then cost recovery will apply to </w:t>
      </w:r>
      <w:r>
        <w:rPr>
          <w:rFonts w:eastAsia="Times New Roman" w:cs="Arial"/>
          <w:lang w:eastAsia="en-AU"/>
        </w:rPr>
        <w:t xml:space="preserve">both </w:t>
      </w:r>
      <w:r w:rsidRPr="0006678D">
        <w:rPr>
          <w:rFonts w:eastAsia="Times New Roman" w:cs="Arial"/>
          <w:lang w:eastAsia="en-AU"/>
        </w:rPr>
        <w:t xml:space="preserve">the referral and any assessment activities undertaken. </w:t>
      </w:r>
    </w:p>
    <w:p w:rsidR="00CB2E1D" w:rsidRDefault="00CB2E1D" w:rsidP="00CB2E1D">
      <w:pPr>
        <w:rPr>
          <w:rFonts w:cs="Arial"/>
          <w:lang w:eastAsia="en-AU"/>
        </w:rPr>
      </w:pPr>
      <w:r w:rsidRPr="0006678D">
        <w:rPr>
          <w:rFonts w:cs="Arial"/>
          <w:lang w:eastAsia="en-AU"/>
        </w:rPr>
        <w:t xml:space="preserve">Cost recovery may also apply where a person wishes to undertake a strategic assessment under Part 10 of the EPBC Act from </w:t>
      </w:r>
      <w:r>
        <w:rPr>
          <w:rFonts w:cs="Arial"/>
          <w:lang w:eastAsia="en-AU"/>
        </w:rPr>
        <w:t>1 October 2014</w:t>
      </w:r>
      <w:r w:rsidRPr="0006678D">
        <w:rPr>
          <w:rFonts w:cs="Arial"/>
          <w:lang w:eastAsia="en-AU"/>
        </w:rPr>
        <w:t xml:space="preserve">. </w:t>
      </w:r>
    </w:p>
    <w:p w:rsidR="004F3494" w:rsidRDefault="001D7551">
      <w:pPr>
        <w:pStyle w:val="ListParagraph"/>
        <w:numPr>
          <w:ilvl w:val="0"/>
          <w:numId w:val="16"/>
        </w:numPr>
        <w:spacing w:before="264" w:after="108" w:line="360" w:lineRule="atLeast"/>
        <w:textAlignment w:val="baseline"/>
        <w:outlineLvl w:val="1"/>
        <w:rPr>
          <w:sz w:val="29"/>
          <w:szCs w:val="29"/>
          <w:lang w:eastAsia="en-AU"/>
        </w:rPr>
      </w:pPr>
      <w:r>
        <w:rPr>
          <w:sz w:val="29"/>
          <w:szCs w:val="29"/>
          <w:lang w:eastAsia="en-AU"/>
        </w:rPr>
        <w:lastRenderedPageBreak/>
        <w:t>What policy guides cost recovery for environmental assessments?</w:t>
      </w:r>
    </w:p>
    <w:p w:rsidR="00762DC7" w:rsidRPr="00DE38DF" w:rsidRDefault="00434AB3" w:rsidP="00762DC7">
      <w:r>
        <w:rPr>
          <w:lang w:eastAsia="en-AU"/>
        </w:rPr>
        <w:t>T</w:t>
      </w:r>
      <w:r w:rsidR="00762DC7" w:rsidRPr="00DE38DF">
        <w:t xml:space="preserve">he Department </w:t>
      </w:r>
      <w:r>
        <w:t xml:space="preserve">has </w:t>
      </w:r>
      <w:r w:rsidR="00762DC7" w:rsidRPr="00DE38DF">
        <w:t xml:space="preserve">a </w:t>
      </w:r>
      <w:r w:rsidR="00762DC7" w:rsidRPr="002566ED">
        <w:rPr>
          <w:i/>
        </w:rPr>
        <w:t xml:space="preserve">Cost Recovery Implementation Statement </w:t>
      </w:r>
      <w:r w:rsidR="00762DC7">
        <w:br/>
        <w:t xml:space="preserve">to provide guidance on how </w:t>
      </w:r>
      <w:r w:rsidR="007A2FFB">
        <w:t>the Australian Government implements cost recovery for environmental assessments and strategic assessments</w:t>
      </w:r>
      <w:r w:rsidR="00207CF1">
        <w:t xml:space="preserve"> under the EPBC Act</w:t>
      </w:r>
      <w:r w:rsidR="007A2FFB">
        <w:t xml:space="preserve"> </w:t>
      </w:r>
      <w:r>
        <w:t>(</w:t>
      </w:r>
      <w:hyperlink r:id="rId9" w:history="1">
        <w:r w:rsidRPr="00434AB3">
          <w:rPr>
            <w:rStyle w:val="Hyperlink"/>
            <w:sz w:val="22"/>
            <w:szCs w:val="22"/>
            <w:bdr w:val="none" w:sz="0" w:space="0" w:color="auto"/>
          </w:rPr>
          <w:t>Cost Recovery Implementation Statement 2016</w:t>
        </w:r>
      </w:hyperlink>
      <w:r>
        <w:t>)</w:t>
      </w:r>
      <w:r w:rsidR="007A2FFB">
        <w:t xml:space="preserve">. This Statement </w:t>
      </w:r>
      <w:r>
        <w:t>includes</w:t>
      </w:r>
      <w:r w:rsidR="00762DC7" w:rsidRPr="00944FE1">
        <w:rPr>
          <w:lang w:eastAsia="en-AU"/>
        </w:rPr>
        <w:t xml:space="preserve"> </w:t>
      </w:r>
      <w:r w:rsidRPr="00434AB3">
        <w:t xml:space="preserve">details of fees and methods for determining fees, exemptions and waivers </w:t>
      </w:r>
      <w:r w:rsidR="00762DC7">
        <w:t>applicable from 1</w:t>
      </w:r>
      <w:r w:rsidR="00207CF1">
        <w:t> </w:t>
      </w:r>
      <w:r w:rsidR="00762DC7">
        <w:t>October 201</w:t>
      </w:r>
      <w:r>
        <w:t>6</w:t>
      </w:r>
      <w:r w:rsidR="00762DC7" w:rsidRPr="00434AB3">
        <w:t>.</w:t>
      </w:r>
    </w:p>
    <w:p w:rsidR="0096573D" w:rsidRDefault="00B24DB2" w:rsidP="0096573D">
      <w:pPr>
        <w:pStyle w:val="ListParagraph"/>
        <w:numPr>
          <w:ilvl w:val="0"/>
          <w:numId w:val="16"/>
        </w:numPr>
        <w:spacing w:before="264" w:after="108" w:line="360" w:lineRule="atLeast"/>
        <w:textAlignment w:val="baseline"/>
        <w:outlineLvl w:val="1"/>
        <w:rPr>
          <w:sz w:val="29"/>
          <w:szCs w:val="29"/>
          <w:lang w:eastAsia="en-AU"/>
        </w:rPr>
      </w:pPr>
      <w:r>
        <w:rPr>
          <w:sz w:val="29"/>
          <w:szCs w:val="29"/>
          <w:lang w:eastAsia="en-AU"/>
        </w:rPr>
        <w:t>Cost recovery for environmental assessments as at 1 October 2016</w:t>
      </w:r>
      <w:r w:rsidR="0096573D" w:rsidRPr="00C45F7B">
        <w:rPr>
          <w:sz w:val="29"/>
          <w:szCs w:val="29"/>
          <w:lang w:eastAsia="en-AU"/>
        </w:rPr>
        <w:t xml:space="preserve"> </w:t>
      </w:r>
    </w:p>
    <w:p w:rsidR="007A2FFB" w:rsidRDefault="007A2FFB" w:rsidP="00207CF1">
      <w:pPr>
        <w:rPr>
          <w:rFonts w:cs="Arial"/>
        </w:rPr>
      </w:pPr>
      <w:r>
        <w:rPr>
          <w:lang w:eastAsia="en-AU"/>
        </w:rPr>
        <w:t xml:space="preserve">On </w:t>
      </w:r>
      <w:r w:rsidR="00B24DB2">
        <w:rPr>
          <w:lang w:eastAsia="en-AU"/>
        </w:rPr>
        <w:t>1 October</w:t>
      </w:r>
      <w:r>
        <w:rPr>
          <w:lang w:eastAsia="en-AU"/>
        </w:rPr>
        <w:t xml:space="preserve"> 2016, th</w:t>
      </w:r>
      <w:r>
        <w:rPr>
          <w:rFonts w:cs="Arial"/>
        </w:rPr>
        <w:t xml:space="preserve">e Department </w:t>
      </w:r>
      <w:r w:rsidR="00B24DB2">
        <w:rPr>
          <w:rFonts w:cs="Arial"/>
        </w:rPr>
        <w:t>implemented key changes to cost recovery for environmental assessments under the EPBC Act</w:t>
      </w:r>
      <w:r>
        <w:rPr>
          <w:rFonts w:cs="Arial"/>
        </w:rPr>
        <w:t>. Th</w:t>
      </w:r>
      <w:r w:rsidR="006B40BE">
        <w:rPr>
          <w:rFonts w:cs="Arial"/>
        </w:rPr>
        <w:t>e</w:t>
      </w:r>
      <w:r>
        <w:rPr>
          <w:rFonts w:cs="Arial"/>
        </w:rPr>
        <w:t xml:space="preserve"> revised </w:t>
      </w:r>
      <w:r w:rsidR="00B24DB2">
        <w:rPr>
          <w:rFonts w:cs="Arial"/>
        </w:rPr>
        <w:t xml:space="preserve">Cost Recovery Implementation </w:t>
      </w:r>
      <w:r>
        <w:rPr>
          <w:rFonts w:cs="Arial"/>
        </w:rPr>
        <w:t xml:space="preserve">Statement reflects </w:t>
      </w:r>
      <w:r w:rsidR="00B24DB2">
        <w:rPr>
          <w:rFonts w:cs="Arial"/>
        </w:rPr>
        <w:t>the key changes which include</w:t>
      </w:r>
      <w:r>
        <w:rPr>
          <w:rFonts w:cs="Arial"/>
        </w:rPr>
        <w:t>:</w:t>
      </w:r>
    </w:p>
    <w:p w:rsidR="006B40BE" w:rsidRDefault="006B40BE" w:rsidP="006B40BE">
      <w:pPr>
        <w:pStyle w:val="ListParagraph"/>
        <w:numPr>
          <w:ilvl w:val="0"/>
          <w:numId w:val="28"/>
        </w:numPr>
        <w:rPr>
          <w:lang w:val="en-US"/>
        </w:rPr>
      </w:pPr>
      <w:r>
        <w:rPr>
          <w:lang w:val="en-US"/>
        </w:rPr>
        <w:t>reductions in base and set fees for referral, assessment, post approval and contingent activities</w:t>
      </w:r>
    </w:p>
    <w:p w:rsidR="006B40BE" w:rsidRDefault="006B40BE" w:rsidP="006B40BE">
      <w:pPr>
        <w:pStyle w:val="ListParagraph"/>
        <w:numPr>
          <w:ilvl w:val="0"/>
          <w:numId w:val="28"/>
        </w:numPr>
        <w:rPr>
          <w:lang w:val="en-US"/>
        </w:rPr>
      </w:pPr>
      <w:r>
        <w:rPr>
          <w:lang w:val="en-US"/>
        </w:rPr>
        <w:t>fees for additional contingent activities</w:t>
      </w:r>
    </w:p>
    <w:p w:rsidR="006B40BE" w:rsidRDefault="006B40BE" w:rsidP="006B40BE">
      <w:pPr>
        <w:pStyle w:val="ListParagraph"/>
        <w:numPr>
          <w:ilvl w:val="0"/>
          <w:numId w:val="28"/>
        </w:numPr>
        <w:rPr>
          <w:lang w:val="en-US"/>
        </w:rPr>
      </w:pPr>
      <w:r>
        <w:rPr>
          <w:lang w:val="en-US"/>
        </w:rPr>
        <w:t xml:space="preserve">updates to complexity fees and methods for determining complexity </w:t>
      </w:r>
    </w:p>
    <w:p w:rsidR="006B40BE" w:rsidRDefault="006B40BE" w:rsidP="006B40BE">
      <w:pPr>
        <w:pStyle w:val="ListParagraph"/>
        <w:numPr>
          <w:ilvl w:val="0"/>
          <w:numId w:val="28"/>
        </w:numPr>
        <w:rPr>
          <w:lang w:val="en-US"/>
        </w:rPr>
      </w:pPr>
      <w:r>
        <w:rPr>
          <w:lang w:val="en-US"/>
        </w:rPr>
        <w:t>updates to the proportions of base and complexity fees to be paid at each fee stage</w:t>
      </w:r>
    </w:p>
    <w:p w:rsidR="006B40BE" w:rsidRDefault="006B40BE" w:rsidP="006B40BE">
      <w:pPr>
        <w:pStyle w:val="ListParagraph"/>
        <w:numPr>
          <w:ilvl w:val="0"/>
          <w:numId w:val="28"/>
        </w:numPr>
        <w:rPr>
          <w:lang w:val="en-US"/>
        </w:rPr>
      </w:pPr>
      <w:r>
        <w:rPr>
          <w:lang w:val="en-US"/>
        </w:rPr>
        <w:t>updates to the definitions of some assessment stages and for contingent fees for additional information requests</w:t>
      </w:r>
    </w:p>
    <w:p w:rsidR="006B40BE" w:rsidRDefault="006B40BE" w:rsidP="006B40BE">
      <w:pPr>
        <w:pStyle w:val="ListParagraph"/>
        <w:numPr>
          <w:ilvl w:val="0"/>
          <w:numId w:val="28"/>
        </w:numPr>
        <w:rPr>
          <w:lang w:val="en-US"/>
        </w:rPr>
      </w:pPr>
      <w:r>
        <w:rPr>
          <w:lang w:val="en-US"/>
        </w:rPr>
        <w:t xml:space="preserve">improvements to </w:t>
      </w:r>
      <w:r w:rsidRPr="008C2660">
        <w:rPr>
          <w:lang w:val="en-US"/>
        </w:rPr>
        <w:t>administrative processes</w:t>
      </w:r>
      <w:r>
        <w:rPr>
          <w:lang w:val="en-US"/>
        </w:rPr>
        <w:t xml:space="preserve"> and</w:t>
      </w:r>
    </w:p>
    <w:p w:rsidR="006B40BE" w:rsidRPr="00741EA7" w:rsidRDefault="006B40BE" w:rsidP="006B40BE">
      <w:pPr>
        <w:pStyle w:val="ListParagraph"/>
        <w:numPr>
          <w:ilvl w:val="0"/>
          <w:numId w:val="28"/>
        </w:numPr>
        <w:rPr>
          <w:lang w:val="en-US"/>
        </w:rPr>
      </w:pPr>
      <w:r w:rsidRPr="003E4561">
        <w:rPr>
          <w:rFonts w:cs="Arial"/>
        </w:rPr>
        <w:t xml:space="preserve">transitional arrangements for </w:t>
      </w:r>
      <w:r>
        <w:rPr>
          <w:rFonts w:cs="Arial"/>
        </w:rPr>
        <w:t>projects currently under assessment to move onto the new fee structures</w:t>
      </w:r>
      <w:r w:rsidRPr="003E4561">
        <w:rPr>
          <w:rFonts w:cs="Arial"/>
        </w:rPr>
        <w:t>.</w:t>
      </w:r>
    </w:p>
    <w:p w:rsidR="00C45F7B" w:rsidRDefault="00885277" w:rsidP="00C45F7B">
      <w:pPr>
        <w:pStyle w:val="ListParagraph"/>
        <w:numPr>
          <w:ilvl w:val="0"/>
          <w:numId w:val="16"/>
        </w:numPr>
        <w:spacing w:before="264" w:after="108" w:line="360" w:lineRule="atLeast"/>
        <w:textAlignment w:val="baseline"/>
        <w:outlineLvl w:val="1"/>
        <w:rPr>
          <w:sz w:val="29"/>
          <w:szCs w:val="29"/>
          <w:lang w:eastAsia="en-AU"/>
        </w:rPr>
      </w:pPr>
      <w:r w:rsidRPr="00885277">
        <w:rPr>
          <w:sz w:val="29"/>
          <w:szCs w:val="29"/>
          <w:lang w:eastAsia="en-AU"/>
        </w:rPr>
        <w:t>Which assessment activities are subject to cost</w:t>
      </w:r>
      <w:r w:rsidR="006618D0" w:rsidRPr="00EE3FFC">
        <w:rPr>
          <w:lang w:eastAsia="en-AU"/>
        </w:rPr>
        <w:t xml:space="preserve"> </w:t>
      </w:r>
      <w:r w:rsidRPr="00885277">
        <w:rPr>
          <w:sz w:val="29"/>
          <w:szCs w:val="29"/>
          <w:lang w:eastAsia="en-AU"/>
        </w:rPr>
        <w:t>recovery?</w:t>
      </w:r>
      <w:r w:rsidR="00C45F7B" w:rsidRPr="00C45F7B">
        <w:rPr>
          <w:sz w:val="29"/>
          <w:szCs w:val="29"/>
          <w:lang w:eastAsia="en-AU"/>
        </w:rPr>
        <w:t xml:space="preserve"> </w:t>
      </w:r>
    </w:p>
    <w:p w:rsidR="004F3494" w:rsidRDefault="006618D0">
      <w:pPr>
        <w:pStyle w:val="ListNumber"/>
        <w:numPr>
          <w:ilvl w:val="0"/>
          <w:numId w:val="0"/>
        </w:numPr>
        <w:rPr>
          <w:lang w:eastAsia="en-AU"/>
        </w:rPr>
      </w:pPr>
      <w:r w:rsidRPr="00112838">
        <w:rPr>
          <w:lang w:eastAsia="en-AU"/>
        </w:rPr>
        <w:t xml:space="preserve">The Australian Government </w:t>
      </w:r>
      <w:r w:rsidR="0005051B">
        <w:rPr>
          <w:lang w:eastAsia="en-AU"/>
        </w:rPr>
        <w:t>has</w:t>
      </w:r>
      <w:r w:rsidRPr="00112838">
        <w:rPr>
          <w:lang w:eastAsia="en-AU"/>
        </w:rPr>
        <w:t xml:space="preserve"> introduce</w:t>
      </w:r>
      <w:r w:rsidR="0005051B">
        <w:rPr>
          <w:lang w:eastAsia="en-AU"/>
        </w:rPr>
        <w:t>d</w:t>
      </w:r>
      <w:r w:rsidRPr="00112838">
        <w:rPr>
          <w:lang w:eastAsia="en-AU"/>
        </w:rPr>
        <w:t xml:space="preserve"> cost recovery for </w:t>
      </w:r>
      <w:r w:rsidR="00A22D92">
        <w:rPr>
          <w:lang w:eastAsia="en-AU"/>
        </w:rPr>
        <w:t xml:space="preserve">the </w:t>
      </w:r>
      <w:r w:rsidR="00BB16C3">
        <w:rPr>
          <w:lang w:eastAsia="en-AU"/>
        </w:rPr>
        <w:t xml:space="preserve">referral of proposals and </w:t>
      </w:r>
      <w:r w:rsidR="008B01D5">
        <w:rPr>
          <w:lang w:eastAsia="en-AU"/>
        </w:rPr>
        <w:t xml:space="preserve">environmental </w:t>
      </w:r>
      <w:r w:rsidR="00495120">
        <w:rPr>
          <w:lang w:eastAsia="en-AU"/>
        </w:rPr>
        <w:t>assessment</w:t>
      </w:r>
      <w:r w:rsidR="002264CB" w:rsidRPr="00112838">
        <w:rPr>
          <w:lang w:eastAsia="en-AU"/>
        </w:rPr>
        <w:t xml:space="preserve">s under the EPBC Act. </w:t>
      </w:r>
      <w:r w:rsidR="00F709AB">
        <w:rPr>
          <w:lang w:eastAsia="en-AU"/>
        </w:rPr>
        <w:t>This covers assessment</w:t>
      </w:r>
      <w:r w:rsidR="00362AEC">
        <w:rPr>
          <w:lang w:eastAsia="en-AU"/>
        </w:rPr>
        <w:t xml:space="preserve"> by</w:t>
      </w:r>
      <w:r w:rsidR="00F709AB">
        <w:rPr>
          <w:lang w:eastAsia="en-AU"/>
        </w:rPr>
        <w:t>:</w:t>
      </w:r>
    </w:p>
    <w:p w:rsidR="007E15B6" w:rsidRDefault="009D44BE">
      <w:pPr>
        <w:pStyle w:val="ListBullet"/>
        <w:rPr>
          <w:lang w:eastAsia="en-AU"/>
        </w:rPr>
      </w:pPr>
      <w:r>
        <w:rPr>
          <w:lang w:eastAsia="en-AU"/>
        </w:rPr>
        <w:t xml:space="preserve">Assessment on </w:t>
      </w:r>
      <w:r w:rsidR="000A6D74" w:rsidRPr="00112838">
        <w:rPr>
          <w:lang w:eastAsia="en-AU"/>
        </w:rPr>
        <w:t>Referral Information</w:t>
      </w:r>
      <w:r w:rsidR="00687110">
        <w:rPr>
          <w:lang w:eastAsia="en-AU"/>
        </w:rPr>
        <w:t xml:space="preserve"> (ARI</w:t>
      </w:r>
      <w:r w:rsidR="00FF7BB8">
        <w:rPr>
          <w:lang w:eastAsia="en-AU"/>
        </w:rPr>
        <w:t>)</w:t>
      </w:r>
    </w:p>
    <w:p w:rsidR="007E15B6" w:rsidRDefault="00687110">
      <w:pPr>
        <w:pStyle w:val="ListBullet"/>
        <w:rPr>
          <w:lang w:eastAsia="en-AU"/>
        </w:rPr>
      </w:pPr>
      <w:r>
        <w:rPr>
          <w:lang w:eastAsia="en-AU"/>
        </w:rPr>
        <w:t>P</w:t>
      </w:r>
      <w:r w:rsidR="000A6D74" w:rsidRPr="00112838">
        <w:rPr>
          <w:lang w:eastAsia="en-AU"/>
        </w:rPr>
        <w:t xml:space="preserve">reliminary </w:t>
      </w:r>
      <w:r>
        <w:rPr>
          <w:lang w:eastAsia="en-AU"/>
        </w:rPr>
        <w:t>D</w:t>
      </w:r>
      <w:r w:rsidR="00FF7BB8">
        <w:rPr>
          <w:lang w:eastAsia="en-AU"/>
        </w:rPr>
        <w:t>ocumentation</w:t>
      </w:r>
      <w:r w:rsidR="00A22D92">
        <w:rPr>
          <w:lang w:eastAsia="en-AU"/>
        </w:rPr>
        <w:t xml:space="preserve"> (PD)</w:t>
      </w:r>
    </w:p>
    <w:p w:rsidR="007E15B6" w:rsidRDefault="000A6D74">
      <w:pPr>
        <w:pStyle w:val="ListBullet"/>
        <w:rPr>
          <w:lang w:eastAsia="en-AU"/>
        </w:rPr>
      </w:pPr>
      <w:r w:rsidRPr="00112838">
        <w:rPr>
          <w:lang w:eastAsia="en-AU"/>
        </w:rPr>
        <w:t>P</w:t>
      </w:r>
      <w:r w:rsidR="00687110">
        <w:rPr>
          <w:lang w:eastAsia="en-AU"/>
        </w:rPr>
        <w:t xml:space="preserve">ublic </w:t>
      </w:r>
      <w:r w:rsidRPr="00112838">
        <w:rPr>
          <w:lang w:eastAsia="en-AU"/>
        </w:rPr>
        <w:t>E</w:t>
      </w:r>
      <w:r w:rsidR="00687110">
        <w:rPr>
          <w:lang w:eastAsia="en-AU"/>
        </w:rPr>
        <w:t xml:space="preserve">nvironment </w:t>
      </w:r>
      <w:r w:rsidRPr="00112838">
        <w:rPr>
          <w:lang w:eastAsia="en-AU"/>
        </w:rPr>
        <w:t>R</w:t>
      </w:r>
      <w:r w:rsidR="00687110">
        <w:rPr>
          <w:lang w:eastAsia="en-AU"/>
        </w:rPr>
        <w:t>eport (PER)</w:t>
      </w:r>
    </w:p>
    <w:p w:rsidR="009D44BE" w:rsidRDefault="00FF7BB8">
      <w:pPr>
        <w:pStyle w:val="ListBullet"/>
        <w:rPr>
          <w:lang w:eastAsia="en-AU"/>
        </w:rPr>
      </w:pPr>
      <w:r>
        <w:rPr>
          <w:lang w:eastAsia="en-AU"/>
        </w:rPr>
        <w:t>Environmental Impact S</w:t>
      </w:r>
      <w:r w:rsidR="000A6D74" w:rsidRPr="00112838">
        <w:rPr>
          <w:lang w:eastAsia="en-AU"/>
        </w:rPr>
        <w:t>tatements</w:t>
      </w:r>
      <w:r w:rsidR="00687110">
        <w:rPr>
          <w:lang w:eastAsia="en-AU"/>
        </w:rPr>
        <w:t xml:space="preserve"> (EIS)</w:t>
      </w:r>
      <w:r w:rsidR="00362AEC">
        <w:rPr>
          <w:lang w:eastAsia="en-AU"/>
        </w:rPr>
        <w:t xml:space="preserve"> </w:t>
      </w:r>
    </w:p>
    <w:p w:rsidR="007E15B6" w:rsidRDefault="009D44BE">
      <w:pPr>
        <w:pStyle w:val="ListBullet"/>
        <w:rPr>
          <w:lang w:eastAsia="en-AU"/>
        </w:rPr>
      </w:pPr>
      <w:r>
        <w:rPr>
          <w:lang w:eastAsia="en-AU"/>
        </w:rPr>
        <w:t>Bilateral Agreement or</w:t>
      </w:r>
      <w:r w:rsidR="00941F69">
        <w:rPr>
          <w:lang w:eastAsia="en-AU"/>
        </w:rPr>
        <w:t xml:space="preserve"> accredited assessment process</w:t>
      </w:r>
    </w:p>
    <w:p w:rsidR="00941F69" w:rsidRDefault="00FF7BB8" w:rsidP="00941F69">
      <w:pPr>
        <w:pStyle w:val="ListBullet"/>
        <w:rPr>
          <w:lang w:eastAsia="en-AU"/>
        </w:rPr>
      </w:pPr>
      <w:r>
        <w:rPr>
          <w:lang w:eastAsia="en-AU"/>
        </w:rPr>
        <w:t>Public Inquiry</w:t>
      </w:r>
      <w:r w:rsidR="00941F69">
        <w:rPr>
          <w:lang w:eastAsia="en-AU"/>
        </w:rPr>
        <w:t xml:space="preserve"> </w:t>
      </w:r>
    </w:p>
    <w:p w:rsidR="004F3494" w:rsidRDefault="00941F69" w:rsidP="00941F69">
      <w:pPr>
        <w:pStyle w:val="ListBullet"/>
        <w:rPr>
          <w:lang w:eastAsia="en-AU"/>
        </w:rPr>
      </w:pPr>
      <w:r>
        <w:rPr>
          <w:lang w:eastAsia="en-AU"/>
        </w:rPr>
        <w:t>s</w:t>
      </w:r>
      <w:r w:rsidR="00687110">
        <w:rPr>
          <w:lang w:eastAsia="en-AU"/>
        </w:rPr>
        <w:t xml:space="preserve">trategic </w:t>
      </w:r>
      <w:r>
        <w:rPr>
          <w:lang w:eastAsia="en-AU"/>
        </w:rPr>
        <w:t>a</w:t>
      </w:r>
      <w:r w:rsidR="00687110">
        <w:rPr>
          <w:lang w:eastAsia="en-AU"/>
        </w:rPr>
        <w:t>ssessments</w:t>
      </w:r>
    </w:p>
    <w:p w:rsidR="00BA5FEB" w:rsidRDefault="00BA5FEB" w:rsidP="002E529E">
      <w:pPr>
        <w:rPr>
          <w:lang w:eastAsia="en-AU"/>
        </w:rPr>
      </w:pPr>
      <w:r>
        <w:rPr>
          <w:lang w:eastAsia="en-AU"/>
        </w:rPr>
        <w:t xml:space="preserve">In instances </w:t>
      </w:r>
      <w:r w:rsidR="00916A11">
        <w:rPr>
          <w:lang w:eastAsia="en-AU"/>
        </w:rPr>
        <w:t xml:space="preserve">where </w:t>
      </w:r>
      <w:r>
        <w:rPr>
          <w:lang w:eastAsia="en-AU"/>
        </w:rPr>
        <w:t>the Minister determine</w:t>
      </w:r>
      <w:r w:rsidR="00916A11">
        <w:rPr>
          <w:lang w:eastAsia="en-AU"/>
        </w:rPr>
        <w:t>s</w:t>
      </w:r>
      <w:r>
        <w:rPr>
          <w:lang w:eastAsia="en-AU"/>
        </w:rPr>
        <w:t xml:space="preserve"> under section 162 of the EPBC Act</w:t>
      </w:r>
      <w:r w:rsidR="00916A11" w:rsidRPr="00916A11">
        <w:rPr>
          <w:lang w:eastAsia="en-AU"/>
        </w:rPr>
        <w:t xml:space="preserve"> </w:t>
      </w:r>
      <w:r w:rsidR="00916A11">
        <w:rPr>
          <w:lang w:eastAsia="en-AU"/>
        </w:rPr>
        <w:t>that an</w:t>
      </w:r>
      <w:r w:rsidR="00916A11" w:rsidRPr="00CA1E88">
        <w:rPr>
          <w:lang w:eastAsia="en-AU"/>
        </w:rPr>
        <w:t xml:space="preserve"> action must be assessed and approved under the EPBC Act</w:t>
      </w:r>
      <w:r>
        <w:rPr>
          <w:lang w:eastAsia="en-AU"/>
        </w:rPr>
        <w:t>,</w:t>
      </w:r>
      <w:r w:rsidR="00916A11">
        <w:rPr>
          <w:lang w:eastAsia="en-AU"/>
        </w:rPr>
        <w:t xml:space="preserve"> </w:t>
      </w:r>
      <w:r w:rsidR="003E5B56">
        <w:rPr>
          <w:lang w:eastAsia="en-AU"/>
        </w:rPr>
        <w:t>the assessment of those actions is</w:t>
      </w:r>
      <w:r w:rsidR="00916A11">
        <w:rPr>
          <w:lang w:eastAsia="en-AU"/>
        </w:rPr>
        <w:t xml:space="preserve"> also subject to cost recovery</w:t>
      </w:r>
      <w:r w:rsidR="003E5B56">
        <w:rPr>
          <w:lang w:eastAsia="en-AU"/>
        </w:rPr>
        <w:t xml:space="preserve"> (see FAQ #21)</w:t>
      </w:r>
      <w:r w:rsidR="00916A11">
        <w:rPr>
          <w:lang w:eastAsia="en-AU"/>
        </w:rPr>
        <w:t>.</w:t>
      </w:r>
    </w:p>
    <w:p w:rsidR="000870CC" w:rsidRDefault="00495120" w:rsidP="002E529E">
      <w:pPr>
        <w:rPr>
          <w:lang w:eastAsia="en-AU"/>
        </w:rPr>
      </w:pPr>
      <w:r>
        <w:rPr>
          <w:lang w:eastAsia="en-AU"/>
        </w:rPr>
        <w:t>Cost recovery</w:t>
      </w:r>
      <w:r w:rsidR="000870CC">
        <w:rPr>
          <w:lang w:eastAsia="en-AU"/>
        </w:rPr>
        <w:t xml:space="preserve"> include</w:t>
      </w:r>
      <w:r w:rsidR="0005051B">
        <w:rPr>
          <w:lang w:eastAsia="en-AU"/>
        </w:rPr>
        <w:t>s</w:t>
      </w:r>
      <w:r w:rsidR="000870CC">
        <w:rPr>
          <w:lang w:eastAsia="en-AU"/>
        </w:rPr>
        <w:t xml:space="preserve"> </w:t>
      </w:r>
      <w:r>
        <w:rPr>
          <w:lang w:eastAsia="en-AU"/>
        </w:rPr>
        <w:t>some contingen</w:t>
      </w:r>
      <w:r w:rsidR="00612C74">
        <w:rPr>
          <w:lang w:eastAsia="en-AU"/>
        </w:rPr>
        <w:t>t</w:t>
      </w:r>
      <w:r>
        <w:rPr>
          <w:lang w:eastAsia="en-AU"/>
        </w:rPr>
        <w:t xml:space="preserve"> fees</w:t>
      </w:r>
      <w:r w:rsidR="00DF5606">
        <w:rPr>
          <w:lang w:eastAsia="en-AU"/>
        </w:rPr>
        <w:t>. These</w:t>
      </w:r>
      <w:r>
        <w:rPr>
          <w:lang w:eastAsia="en-AU"/>
        </w:rPr>
        <w:t xml:space="preserve"> only apply where there is </w:t>
      </w:r>
      <w:r w:rsidR="00D259FC">
        <w:rPr>
          <w:lang w:eastAsia="en-AU"/>
        </w:rPr>
        <w:t xml:space="preserve">a need </w:t>
      </w:r>
      <w:r w:rsidR="00A22D92">
        <w:rPr>
          <w:lang w:eastAsia="en-AU"/>
        </w:rPr>
        <w:t xml:space="preserve">for the Department </w:t>
      </w:r>
      <w:r w:rsidR="00D259FC">
        <w:rPr>
          <w:lang w:eastAsia="en-AU"/>
        </w:rPr>
        <w:t>to undertake further work as a result of a statutory requirement</w:t>
      </w:r>
      <w:r w:rsidR="00A22D92">
        <w:rPr>
          <w:lang w:eastAsia="en-AU"/>
        </w:rPr>
        <w:t xml:space="preserve"> under </w:t>
      </w:r>
      <w:r w:rsidR="00BC6A69">
        <w:rPr>
          <w:lang w:eastAsia="en-AU"/>
        </w:rPr>
        <w:t>the EPBC Act</w:t>
      </w:r>
      <w:r w:rsidR="00A22D92">
        <w:rPr>
          <w:lang w:eastAsia="en-AU"/>
        </w:rPr>
        <w:t>. This might occur</w:t>
      </w:r>
      <w:r w:rsidR="00672712">
        <w:rPr>
          <w:lang w:eastAsia="en-AU"/>
        </w:rPr>
        <w:t>,</w:t>
      </w:r>
      <w:r w:rsidR="00A22D92">
        <w:rPr>
          <w:lang w:eastAsia="en-AU"/>
        </w:rPr>
        <w:t xml:space="preserve"> for example</w:t>
      </w:r>
      <w:r w:rsidR="00672712">
        <w:rPr>
          <w:lang w:eastAsia="en-AU"/>
        </w:rPr>
        <w:t>,</w:t>
      </w:r>
      <w:r w:rsidR="00A22D92">
        <w:rPr>
          <w:lang w:eastAsia="en-AU"/>
        </w:rPr>
        <w:t xml:space="preserve"> </w:t>
      </w:r>
      <w:r w:rsidR="000870CC">
        <w:rPr>
          <w:lang w:eastAsia="en-AU"/>
        </w:rPr>
        <w:t xml:space="preserve">where </w:t>
      </w:r>
      <w:r w:rsidR="000040FE">
        <w:rPr>
          <w:lang w:eastAsia="en-AU"/>
        </w:rPr>
        <w:t xml:space="preserve">fees </w:t>
      </w:r>
      <w:r w:rsidR="00A22D92">
        <w:rPr>
          <w:lang w:eastAsia="en-AU"/>
        </w:rPr>
        <w:t xml:space="preserve">are incurred because the </w:t>
      </w:r>
      <w:r w:rsidR="000870CC">
        <w:rPr>
          <w:lang w:eastAsia="en-AU"/>
        </w:rPr>
        <w:t xml:space="preserve">information provided </w:t>
      </w:r>
      <w:r w:rsidR="000870CC">
        <w:rPr>
          <w:lang w:eastAsia="en-AU"/>
        </w:rPr>
        <w:lastRenderedPageBreak/>
        <w:t xml:space="preserve">by </w:t>
      </w:r>
      <w:r w:rsidR="00035A6E">
        <w:rPr>
          <w:lang w:val="en-US"/>
        </w:rPr>
        <w:t xml:space="preserve">the person proposing to take </w:t>
      </w:r>
      <w:r w:rsidR="003D3B98">
        <w:rPr>
          <w:lang w:val="en-US"/>
        </w:rPr>
        <w:t>an</w:t>
      </w:r>
      <w:r w:rsidR="00035A6E">
        <w:rPr>
          <w:lang w:val="en-US"/>
        </w:rPr>
        <w:t xml:space="preserve"> action</w:t>
      </w:r>
      <w:r w:rsidR="000870CC">
        <w:rPr>
          <w:lang w:eastAsia="en-AU"/>
        </w:rPr>
        <w:t xml:space="preserve"> is </w:t>
      </w:r>
      <w:r w:rsidR="00A22D92">
        <w:rPr>
          <w:lang w:eastAsia="en-AU"/>
        </w:rPr>
        <w:t>inadequate</w:t>
      </w:r>
      <w:r w:rsidR="000870CC">
        <w:rPr>
          <w:lang w:eastAsia="en-AU"/>
        </w:rPr>
        <w:t xml:space="preserve"> </w:t>
      </w:r>
      <w:r w:rsidR="00125A0E">
        <w:rPr>
          <w:lang w:eastAsia="en-AU"/>
        </w:rPr>
        <w:t xml:space="preserve">to assess the project </w:t>
      </w:r>
      <w:r w:rsidR="000870CC">
        <w:rPr>
          <w:lang w:eastAsia="en-AU"/>
        </w:rPr>
        <w:t xml:space="preserve">and </w:t>
      </w:r>
      <w:r w:rsidR="0041221E">
        <w:rPr>
          <w:lang w:eastAsia="en-AU"/>
        </w:rPr>
        <w:t xml:space="preserve">the </w:t>
      </w:r>
      <w:r w:rsidR="0030580C">
        <w:rPr>
          <w:lang w:eastAsia="en-AU"/>
        </w:rPr>
        <w:t xml:space="preserve">Department </w:t>
      </w:r>
      <w:r w:rsidR="0041221E">
        <w:rPr>
          <w:lang w:eastAsia="en-AU"/>
        </w:rPr>
        <w:t>needs</w:t>
      </w:r>
      <w:r w:rsidR="000870CC">
        <w:rPr>
          <w:lang w:eastAsia="en-AU"/>
        </w:rPr>
        <w:t xml:space="preserve"> to request further information.</w:t>
      </w:r>
    </w:p>
    <w:p w:rsidR="00F709AB" w:rsidRDefault="00810BE1" w:rsidP="002E529E">
      <w:pPr>
        <w:rPr>
          <w:lang w:eastAsia="en-AU"/>
        </w:rPr>
      </w:pPr>
      <w:r>
        <w:rPr>
          <w:lang w:eastAsia="en-AU"/>
        </w:rPr>
        <w:t>C</w:t>
      </w:r>
      <w:r w:rsidR="00F621E6">
        <w:rPr>
          <w:lang w:eastAsia="en-AU"/>
        </w:rPr>
        <w:t>ost recovery also appl</w:t>
      </w:r>
      <w:r w:rsidR="0005051B">
        <w:rPr>
          <w:lang w:eastAsia="en-AU"/>
        </w:rPr>
        <w:t>ies</w:t>
      </w:r>
      <w:r w:rsidR="00F621E6">
        <w:rPr>
          <w:lang w:eastAsia="en-AU"/>
        </w:rPr>
        <w:t xml:space="preserve"> to</w:t>
      </w:r>
      <w:r w:rsidR="00D729A7">
        <w:rPr>
          <w:lang w:eastAsia="en-AU"/>
        </w:rPr>
        <w:t xml:space="preserve"> a</w:t>
      </w:r>
      <w:r w:rsidR="00F621E6">
        <w:rPr>
          <w:lang w:eastAsia="en-AU"/>
        </w:rPr>
        <w:t xml:space="preserve"> </w:t>
      </w:r>
      <w:r w:rsidR="00612C74">
        <w:rPr>
          <w:lang w:eastAsia="en-AU"/>
        </w:rPr>
        <w:t>n</w:t>
      </w:r>
      <w:r w:rsidR="00D729A7">
        <w:rPr>
          <w:lang w:eastAsia="en-AU"/>
        </w:rPr>
        <w:t>umber of</w:t>
      </w:r>
      <w:r w:rsidR="000870CC">
        <w:rPr>
          <w:lang w:eastAsia="en-AU"/>
        </w:rPr>
        <w:t xml:space="preserve"> </w:t>
      </w:r>
      <w:r w:rsidR="007171A9">
        <w:rPr>
          <w:lang w:eastAsia="en-AU"/>
        </w:rPr>
        <w:t>post approval activities</w:t>
      </w:r>
      <w:r w:rsidR="00D729A7">
        <w:rPr>
          <w:lang w:eastAsia="en-AU"/>
        </w:rPr>
        <w:t xml:space="preserve">. These </w:t>
      </w:r>
      <w:r w:rsidR="00941F69">
        <w:rPr>
          <w:lang w:eastAsia="en-AU"/>
        </w:rPr>
        <w:t>are</w:t>
      </w:r>
      <w:r w:rsidR="007171A9">
        <w:rPr>
          <w:lang w:eastAsia="en-AU"/>
        </w:rPr>
        <w:t xml:space="preserve"> </w:t>
      </w:r>
      <w:r w:rsidR="000870CC">
        <w:rPr>
          <w:lang w:eastAsia="en-AU"/>
        </w:rPr>
        <w:t>assessment rather than compliance</w:t>
      </w:r>
      <w:r w:rsidR="00941F69">
        <w:rPr>
          <w:lang w:eastAsia="en-AU"/>
        </w:rPr>
        <w:t xml:space="preserve"> activities</w:t>
      </w:r>
      <w:r w:rsidR="000870CC">
        <w:rPr>
          <w:lang w:eastAsia="en-AU"/>
        </w:rPr>
        <w:t xml:space="preserve">, </w:t>
      </w:r>
      <w:r w:rsidR="00672712">
        <w:rPr>
          <w:lang w:eastAsia="en-AU"/>
        </w:rPr>
        <w:t xml:space="preserve">and </w:t>
      </w:r>
      <w:r w:rsidR="007171A9">
        <w:rPr>
          <w:lang w:eastAsia="en-AU"/>
        </w:rPr>
        <w:t>includ</w:t>
      </w:r>
      <w:r w:rsidR="00672712">
        <w:rPr>
          <w:lang w:eastAsia="en-AU"/>
        </w:rPr>
        <w:t>e:</w:t>
      </w:r>
    </w:p>
    <w:p w:rsidR="007E15B6" w:rsidRDefault="00D729A7">
      <w:pPr>
        <w:pStyle w:val="ListBullet"/>
        <w:rPr>
          <w:lang w:eastAsia="en-AU"/>
        </w:rPr>
      </w:pPr>
      <w:r>
        <w:rPr>
          <w:lang w:eastAsia="en-AU"/>
        </w:rPr>
        <w:t xml:space="preserve">the assessment of </w:t>
      </w:r>
      <w:r w:rsidR="007171A9">
        <w:rPr>
          <w:lang w:eastAsia="en-AU"/>
        </w:rPr>
        <w:t>management action plans</w:t>
      </w:r>
      <w:r w:rsidR="004A5124">
        <w:rPr>
          <w:lang w:eastAsia="en-AU"/>
        </w:rPr>
        <w:t>;</w:t>
      </w:r>
      <w:r w:rsidR="007A7841">
        <w:rPr>
          <w:lang w:eastAsia="en-AU"/>
        </w:rPr>
        <w:t xml:space="preserve"> and</w:t>
      </w:r>
    </w:p>
    <w:p w:rsidR="007E15B6" w:rsidRDefault="00672712">
      <w:pPr>
        <w:pStyle w:val="ListBullet"/>
        <w:rPr>
          <w:lang w:eastAsia="en-AU"/>
        </w:rPr>
      </w:pPr>
      <w:r>
        <w:rPr>
          <w:lang w:eastAsia="en-AU"/>
        </w:rPr>
        <w:t xml:space="preserve">contingencies such as the </w:t>
      </w:r>
      <w:r w:rsidR="00125A0E">
        <w:rPr>
          <w:lang w:eastAsia="en-AU"/>
        </w:rPr>
        <w:t>person proposing to take an action</w:t>
      </w:r>
      <w:r>
        <w:rPr>
          <w:lang w:eastAsia="en-AU"/>
        </w:rPr>
        <w:t xml:space="preserve"> requesting </w:t>
      </w:r>
      <w:r w:rsidR="007171A9" w:rsidRPr="00FC12C4">
        <w:rPr>
          <w:lang w:val="en-US"/>
        </w:rPr>
        <w:t xml:space="preserve">a variation to </w:t>
      </w:r>
      <w:r w:rsidR="000870CC">
        <w:rPr>
          <w:lang w:val="en-US"/>
        </w:rPr>
        <w:t>conditions of approval</w:t>
      </w:r>
      <w:r w:rsidR="007171A9">
        <w:rPr>
          <w:lang w:val="en-US"/>
        </w:rPr>
        <w:t>.</w:t>
      </w:r>
    </w:p>
    <w:p w:rsidR="004F3494" w:rsidRDefault="003E1B69">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Pr>
          <w:rFonts w:eastAsia="Times New Roman" w:cs="Arial"/>
          <w:sz w:val="29"/>
          <w:szCs w:val="29"/>
          <w:lang w:eastAsia="en-AU"/>
        </w:rPr>
        <w:t xml:space="preserve">Who </w:t>
      </w:r>
      <w:r w:rsidR="00885277" w:rsidRPr="00885277">
        <w:rPr>
          <w:sz w:val="29"/>
          <w:szCs w:val="29"/>
          <w:lang w:eastAsia="en-AU"/>
        </w:rPr>
        <w:t>pays</w:t>
      </w:r>
      <w:r>
        <w:rPr>
          <w:rFonts w:eastAsia="Times New Roman" w:cs="Arial"/>
          <w:sz w:val="29"/>
          <w:szCs w:val="29"/>
          <w:lang w:eastAsia="en-AU"/>
        </w:rPr>
        <w:t xml:space="preserve"> </w:t>
      </w:r>
      <w:r w:rsidR="00810BE1">
        <w:rPr>
          <w:rFonts w:eastAsia="Times New Roman" w:cs="Arial"/>
          <w:sz w:val="29"/>
          <w:szCs w:val="29"/>
          <w:lang w:eastAsia="en-AU"/>
        </w:rPr>
        <w:t>the</w:t>
      </w:r>
      <w:r>
        <w:rPr>
          <w:rFonts w:eastAsia="Times New Roman" w:cs="Arial"/>
          <w:sz w:val="29"/>
          <w:szCs w:val="29"/>
          <w:lang w:eastAsia="en-AU"/>
        </w:rPr>
        <w:t xml:space="preserve"> </w:t>
      </w:r>
      <w:r w:rsidR="00810BE1">
        <w:rPr>
          <w:rFonts w:eastAsia="Times New Roman" w:cs="Arial"/>
          <w:sz w:val="29"/>
          <w:szCs w:val="29"/>
          <w:lang w:eastAsia="en-AU"/>
        </w:rPr>
        <w:t>fees</w:t>
      </w:r>
      <w:r>
        <w:rPr>
          <w:rFonts w:eastAsia="Times New Roman" w:cs="Arial"/>
          <w:sz w:val="29"/>
          <w:szCs w:val="29"/>
          <w:lang w:eastAsia="en-AU"/>
        </w:rPr>
        <w:t xml:space="preserve">? </w:t>
      </w:r>
    </w:p>
    <w:p w:rsidR="003E1B69" w:rsidRDefault="00810BE1" w:rsidP="003E1B69">
      <w:pPr>
        <w:rPr>
          <w:lang w:eastAsia="en-AU"/>
        </w:rPr>
      </w:pPr>
      <w:r>
        <w:rPr>
          <w:lang w:eastAsia="en-AU"/>
        </w:rPr>
        <w:t>Fees</w:t>
      </w:r>
      <w:r w:rsidR="003E1B69">
        <w:rPr>
          <w:lang w:eastAsia="en-AU"/>
        </w:rPr>
        <w:t xml:space="preserve"> apply to the ‘person proposing to take </w:t>
      </w:r>
      <w:r w:rsidR="003D3B98">
        <w:rPr>
          <w:lang w:eastAsia="en-AU"/>
        </w:rPr>
        <w:t>an</w:t>
      </w:r>
      <w:r w:rsidR="003E1B69">
        <w:rPr>
          <w:lang w:eastAsia="en-AU"/>
        </w:rPr>
        <w:t xml:space="preserve"> action’ under the EPBC Act.</w:t>
      </w:r>
      <w:r w:rsidR="003E1B69" w:rsidRPr="003E1B69">
        <w:rPr>
          <w:lang w:eastAsia="en-AU"/>
        </w:rPr>
        <w:t xml:space="preserve"> </w:t>
      </w:r>
      <w:r w:rsidR="003E1B69" w:rsidRPr="009555D1">
        <w:rPr>
          <w:lang w:eastAsia="en-AU"/>
        </w:rPr>
        <w:t xml:space="preserve">The </w:t>
      </w:r>
      <w:r w:rsidR="003E1B69">
        <w:rPr>
          <w:lang w:eastAsia="en-AU"/>
        </w:rPr>
        <w:t>‘p</w:t>
      </w:r>
      <w:r w:rsidR="003E1B69" w:rsidRPr="009555D1">
        <w:rPr>
          <w:lang w:eastAsia="en-AU"/>
        </w:rPr>
        <w:t xml:space="preserve">erson proposing to take </w:t>
      </w:r>
      <w:r w:rsidR="003D3B98">
        <w:rPr>
          <w:lang w:eastAsia="en-AU"/>
        </w:rPr>
        <w:t>an</w:t>
      </w:r>
      <w:r w:rsidR="003E1B69" w:rsidRPr="009555D1">
        <w:rPr>
          <w:lang w:eastAsia="en-AU"/>
        </w:rPr>
        <w:t xml:space="preserve"> action</w:t>
      </w:r>
      <w:r w:rsidR="003E1B69">
        <w:rPr>
          <w:lang w:eastAsia="en-AU"/>
        </w:rPr>
        <w:t>’</w:t>
      </w:r>
      <w:r w:rsidR="003E1B69" w:rsidRPr="009555D1">
        <w:rPr>
          <w:lang w:eastAsia="en-AU"/>
        </w:rPr>
        <w:t xml:space="preserve"> </w:t>
      </w:r>
      <w:r w:rsidR="00A8344E">
        <w:rPr>
          <w:lang w:eastAsia="en-AU"/>
        </w:rPr>
        <w:t>is</w:t>
      </w:r>
      <w:r w:rsidR="003E1B69" w:rsidRPr="009555D1">
        <w:rPr>
          <w:lang w:eastAsia="en-AU"/>
        </w:rPr>
        <w:t xml:space="preserve"> the person who </w:t>
      </w:r>
      <w:r w:rsidR="0041221E">
        <w:rPr>
          <w:lang w:eastAsia="en-AU"/>
        </w:rPr>
        <w:t>plans</w:t>
      </w:r>
      <w:r w:rsidR="003E1B69" w:rsidRPr="009555D1">
        <w:rPr>
          <w:lang w:eastAsia="en-AU"/>
        </w:rPr>
        <w:t xml:space="preserve"> to take </w:t>
      </w:r>
      <w:r w:rsidR="003D3B98">
        <w:rPr>
          <w:lang w:eastAsia="en-AU"/>
        </w:rPr>
        <w:t>an</w:t>
      </w:r>
      <w:r w:rsidR="003E1B69" w:rsidRPr="009555D1">
        <w:rPr>
          <w:lang w:eastAsia="en-AU"/>
        </w:rPr>
        <w:t xml:space="preserve"> action </w:t>
      </w:r>
      <w:r w:rsidR="003D3B98">
        <w:rPr>
          <w:lang w:eastAsia="en-AU"/>
        </w:rPr>
        <w:t xml:space="preserve">which will have or is likely to have a significant impact on a matter of national environmental significance. </w:t>
      </w:r>
    </w:p>
    <w:p w:rsidR="00C776F3" w:rsidRDefault="00672712">
      <w:r>
        <w:rPr>
          <w:lang w:eastAsia="en-AU"/>
        </w:rPr>
        <w:t>It should be noted that t</w:t>
      </w:r>
      <w:r w:rsidR="006F184F" w:rsidRPr="006F184F">
        <w:rPr>
          <w:lang w:eastAsia="en-AU"/>
        </w:rPr>
        <w:t xml:space="preserve">he person proposing </w:t>
      </w:r>
      <w:r w:rsidR="00230A05">
        <w:rPr>
          <w:lang w:eastAsia="en-AU"/>
        </w:rPr>
        <w:t xml:space="preserve">to </w:t>
      </w:r>
      <w:r w:rsidR="006F184F" w:rsidRPr="006F184F">
        <w:rPr>
          <w:lang w:eastAsia="en-AU"/>
        </w:rPr>
        <w:t xml:space="preserve">take </w:t>
      </w:r>
      <w:r w:rsidR="00230A05">
        <w:rPr>
          <w:lang w:eastAsia="en-AU"/>
        </w:rPr>
        <w:t>an</w:t>
      </w:r>
      <w:r w:rsidR="006F184F" w:rsidRPr="006F184F">
        <w:rPr>
          <w:lang w:eastAsia="en-AU"/>
        </w:rPr>
        <w:t xml:space="preserve"> action and the designated proponent are not necessarily the same person. </w:t>
      </w:r>
      <w:r>
        <w:rPr>
          <w:lang w:eastAsia="en-AU"/>
        </w:rPr>
        <w:t>I</w:t>
      </w:r>
      <w:r w:rsidR="006F184F" w:rsidRPr="006F184F">
        <w:rPr>
          <w:lang w:eastAsia="en-AU"/>
        </w:rPr>
        <w:t xml:space="preserve">n most cases the Minister will designate the person proposing to take </w:t>
      </w:r>
      <w:r w:rsidR="00230A05">
        <w:rPr>
          <w:lang w:eastAsia="en-AU"/>
        </w:rPr>
        <w:t>an</w:t>
      </w:r>
      <w:r w:rsidR="006F184F" w:rsidRPr="006F184F">
        <w:rPr>
          <w:lang w:eastAsia="en-AU"/>
        </w:rPr>
        <w:t xml:space="preserve"> action as the proponent</w:t>
      </w:r>
      <w:r w:rsidR="00230A05">
        <w:rPr>
          <w:lang w:eastAsia="en-AU"/>
        </w:rPr>
        <w:t xml:space="preserve"> when the controlled action and assessment approach decision is made</w:t>
      </w:r>
      <w:r>
        <w:rPr>
          <w:lang w:eastAsia="en-AU"/>
        </w:rPr>
        <w:t xml:space="preserve">. However, </w:t>
      </w:r>
      <w:r w:rsidR="006F184F" w:rsidRPr="006F184F">
        <w:rPr>
          <w:lang w:eastAsia="en-AU"/>
        </w:rPr>
        <w:t>this will not always be the case</w:t>
      </w:r>
      <w:r w:rsidR="007008FF">
        <w:rPr>
          <w:lang w:eastAsia="en-AU"/>
        </w:rPr>
        <w:t>. For</w:t>
      </w:r>
      <w:r w:rsidR="00230A05">
        <w:rPr>
          <w:lang w:eastAsia="en-AU"/>
        </w:rPr>
        <w:t xml:space="preserve"> instance, the designated proponent could be an environmental consultant acting on behalf of the person proposing to take an action</w:t>
      </w:r>
      <w:r w:rsidR="006F184F" w:rsidRPr="006F184F">
        <w:rPr>
          <w:lang w:eastAsia="en-AU"/>
        </w:rPr>
        <w:t xml:space="preserve">. </w:t>
      </w:r>
      <w:r w:rsidR="007008FF">
        <w:rPr>
          <w:lang w:eastAsia="en-AU"/>
        </w:rPr>
        <w:t>In this instance, t</w:t>
      </w:r>
      <w:r w:rsidR="009555D1" w:rsidRPr="009555D1">
        <w:rPr>
          <w:lang w:eastAsia="en-AU"/>
        </w:rPr>
        <w:t xml:space="preserve">he </w:t>
      </w:r>
      <w:r w:rsidR="00230A05">
        <w:rPr>
          <w:lang w:eastAsia="en-AU"/>
        </w:rPr>
        <w:t>d</w:t>
      </w:r>
      <w:r w:rsidR="009555D1" w:rsidRPr="009555D1">
        <w:rPr>
          <w:lang w:eastAsia="en-AU"/>
        </w:rPr>
        <w:t xml:space="preserve">esignated proponent </w:t>
      </w:r>
      <w:r w:rsidR="0005051B">
        <w:rPr>
          <w:lang w:eastAsia="en-AU"/>
        </w:rPr>
        <w:t>is</w:t>
      </w:r>
      <w:r w:rsidR="00230A05">
        <w:rPr>
          <w:lang w:eastAsia="en-AU"/>
        </w:rPr>
        <w:t xml:space="preserve"> not liable for fees</w:t>
      </w:r>
      <w:r w:rsidR="009555D1">
        <w:rPr>
          <w:lang w:eastAsia="en-AU"/>
        </w:rPr>
        <w:t>.</w:t>
      </w:r>
    </w:p>
    <w:p w:rsidR="008F7144" w:rsidRDefault="008E2E76" w:rsidP="008F714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8E2E76">
        <w:rPr>
          <w:rFonts w:eastAsia="Times New Roman" w:cs="Arial"/>
          <w:sz w:val="29"/>
          <w:szCs w:val="29"/>
          <w:lang w:eastAsia="en-AU"/>
        </w:rPr>
        <w:t>Does cost recovery apply to strategic assessments?</w:t>
      </w:r>
      <w:r w:rsidR="008F7144" w:rsidRPr="008F7144">
        <w:rPr>
          <w:rFonts w:eastAsia="Times New Roman" w:cs="Arial"/>
          <w:sz w:val="29"/>
          <w:szCs w:val="29"/>
          <w:lang w:eastAsia="en-AU"/>
        </w:rPr>
        <w:t xml:space="preserve"> </w:t>
      </w:r>
    </w:p>
    <w:p w:rsidR="008E2E76" w:rsidRDefault="008E2E76" w:rsidP="008E2E76">
      <w:pPr>
        <w:pStyle w:val="ListBullet"/>
        <w:numPr>
          <w:ilvl w:val="0"/>
          <w:numId w:val="0"/>
        </w:numPr>
        <w:rPr>
          <w:lang w:eastAsia="en-AU"/>
        </w:rPr>
      </w:pPr>
      <w:r w:rsidRPr="004D5270">
        <w:rPr>
          <w:lang w:eastAsia="en-AU"/>
        </w:rPr>
        <w:t xml:space="preserve">Yes, from </w:t>
      </w:r>
      <w:r>
        <w:rPr>
          <w:lang w:eastAsia="en-AU"/>
        </w:rPr>
        <w:t>1 October 2014, and on a case by case basis</w:t>
      </w:r>
      <w:r w:rsidRPr="004D5270">
        <w:rPr>
          <w:lang w:eastAsia="en-AU"/>
        </w:rPr>
        <w:t xml:space="preserve">. Full cost recovery will apply where there is an identifiable person responsible for a policy, plan or program, and where the assessment </w:t>
      </w:r>
      <w:r>
        <w:rPr>
          <w:lang w:eastAsia="en-AU"/>
        </w:rPr>
        <w:t xml:space="preserve">primarily </w:t>
      </w:r>
      <w:r w:rsidRPr="004D5270">
        <w:rPr>
          <w:lang w:eastAsia="en-AU"/>
        </w:rPr>
        <w:t>provid</w:t>
      </w:r>
      <w:r>
        <w:rPr>
          <w:lang w:eastAsia="en-AU"/>
        </w:rPr>
        <w:t xml:space="preserve">es private benefits. The Minister will determine on a case by case </w:t>
      </w:r>
      <w:r w:rsidR="00303F68">
        <w:rPr>
          <w:lang w:eastAsia="en-AU"/>
        </w:rPr>
        <w:t xml:space="preserve">basis </w:t>
      </w:r>
      <w:r>
        <w:rPr>
          <w:lang w:eastAsia="en-AU"/>
        </w:rPr>
        <w:t>whether a new strategic assessment will be subject to cost recovery.</w:t>
      </w:r>
    </w:p>
    <w:p w:rsidR="008E2E76" w:rsidRDefault="008E2E76" w:rsidP="008E2E76">
      <w:pPr>
        <w:pStyle w:val="ListBullet"/>
        <w:numPr>
          <w:ilvl w:val="0"/>
          <w:numId w:val="0"/>
        </w:numPr>
        <w:rPr>
          <w:lang w:eastAsia="en-AU"/>
        </w:rPr>
      </w:pPr>
      <w:r w:rsidRPr="00112838">
        <w:rPr>
          <w:lang w:eastAsia="en-AU"/>
        </w:rPr>
        <w:t xml:space="preserve">Strategic assessments that </w:t>
      </w:r>
      <w:r>
        <w:rPr>
          <w:lang w:eastAsia="en-AU"/>
        </w:rPr>
        <w:t xml:space="preserve">primarily </w:t>
      </w:r>
      <w:r w:rsidRPr="00112838">
        <w:rPr>
          <w:lang w:eastAsia="en-AU"/>
        </w:rPr>
        <w:t>provide benefits to the general public and community will conti</w:t>
      </w:r>
      <w:r>
        <w:rPr>
          <w:lang w:eastAsia="en-AU"/>
        </w:rPr>
        <w:t>nue to be funded by the Australian Government. There may be circumstances where a proposed strategic assessment has both a public and a private benefit, and will be partially cost recovered (i.e. result in a mixture of budget funding and cost recovery).</w:t>
      </w:r>
    </w:p>
    <w:p w:rsidR="008E2E76" w:rsidRDefault="008E2E76" w:rsidP="008E2E76">
      <w:pPr>
        <w:pStyle w:val="ListBullet"/>
        <w:numPr>
          <w:ilvl w:val="0"/>
          <w:numId w:val="0"/>
        </w:numPr>
        <w:rPr>
          <w:lang w:eastAsia="en-AU"/>
        </w:rPr>
      </w:pPr>
      <w:r>
        <w:rPr>
          <w:lang w:eastAsia="en-AU"/>
        </w:rPr>
        <w:t>In cases where full or partial cost recovery is deemed to be appropriate, fees will be determined in consultation with the person responsible for the policy, plan or program.</w:t>
      </w:r>
    </w:p>
    <w:p w:rsidR="008F7144" w:rsidRDefault="004E4585" w:rsidP="008F714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8F7144">
        <w:rPr>
          <w:rFonts w:eastAsia="Times New Roman" w:cs="Arial"/>
          <w:sz w:val="29"/>
          <w:szCs w:val="29"/>
          <w:lang w:eastAsia="en-AU"/>
        </w:rPr>
        <w:t>How much</w:t>
      </w:r>
      <w:r w:rsidR="00007447" w:rsidRPr="008F7144">
        <w:rPr>
          <w:rFonts w:eastAsia="Times New Roman" w:cs="Arial"/>
          <w:sz w:val="29"/>
          <w:szCs w:val="29"/>
          <w:lang w:eastAsia="en-AU"/>
        </w:rPr>
        <w:t xml:space="preserve"> </w:t>
      </w:r>
      <w:r w:rsidR="00887019" w:rsidRPr="008F7144">
        <w:rPr>
          <w:rFonts w:eastAsia="Times New Roman" w:cs="Arial"/>
          <w:sz w:val="29"/>
          <w:szCs w:val="29"/>
          <w:lang w:eastAsia="en-AU"/>
        </w:rPr>
        <w:t xml:space="preserve">are </w:t>
      </w:r>
      <w:r w:rsidR="00007447" w:rsidRPr="008F7144">
        <w:rPr>
          <w:rFonts w:eastAsia="Times New Roman" w:cs="Arial"/>
          <w:sz w:val="29"/>
          <w:szCs w:val="29"/>
          <w:lang w:eastAsia="en-AU"/>
        </w:rPr>
        <w:t>the fees?</w:t>
      </w:r>
    </w:p>
    <w:p w:rsidR="004F3494" w:rsidRDefault="009B2A17">
      <w:pPr>
        <w:rPr>
          <w:lang w:eastAsia="en-AU"/>
        </w:rPr>
      </w:pPr>
      <w:r>
        <w:rPr>
          <w:lang w:eastAsia="en-AU"/>
        </w:rPr>
        <w:t>The fees are detailed in the EPBC Regulations</w:t>
      </w:r>
      <w:r w:rsidRPr="00DE38DF">
        <w:rPr>
          <w:lang w:eastAsia="en-AU"/>
        </w:rPr>
        <w:t xml:space="preserve"> </w:t>
      </w:r>
      <w:r>
        <w:rPr>
          <w:lang w:eastAsia="en-AU"/>
        </w:rPr>
        <w:t xml:space="preserve">available on the Federal Register of Legislative Instruments </w:t>
      </w:r>
      <w:hyperlink r:id="rId10" w:history="1">
        <w:r w:rsidR="0017360A" w:rsidRPr="0017360A">
          <w:rPr>
            <w:rStyle w:val="Hyperlink"/>
            <w:sz w:val="22"/>
            <w:szCs w:val="22"/>
            <w:bdr w:val="none" w:sz="0" w:space="0" w:color="auto"/>
            <w:lang w:eastAsia="en-AU"/>
          </w:rPr>
          <w:t>www.comlaw.gov.au</w:t>
        </w:r>
      </w:hyperlink>
      <w:r w:rsidRPr="005E3048">
        <w:rPr>
          <w:lang w:eastAsia="en-AU"/>
        </w:rPr>
        <w:t>.</w:t>
      </w:r>
      <w:r>
        <w:rPr>
          <w:lang w:eastAsia="en-AU"/>
        </w:rPr>
        <w:t xml:space="preserve"> </w:t>
      </w:r>
      <w:r w:rsidR="009B3EF0" w:rsidRPr="007A7841">
        <w:rPr>
          <w:lang w:eastAsia="en-AU"/>
        </w:rPr>
        <w:t xml:space="preserve">A detailed list of applicable fees </w:t>
      </w:r>
      <w:r w:rsidR="0058337B">
        <w:rPr>
          <w:lang w:eastAsia="en-AU"/>
        </w:rPr>
        <w:t xml:space="preserve">is </w:t>
      </w:r>
      <w:r>
        <w:rPr>
          <w:lang w:eastAsia="en-AU"/>
        </w:rPr>
        <w:t xml:space="preserve">also </w:t>
      </w:r>
      <w:r w:rsidR="009B3EF0" w:rsidRPr="007A7841">
        <w:rPr>
          <w:lang w:eastAsia="en-AU"/>
        </w:rPr>
        <w:t xml:space="preserve">available </w:t>
      </w:r>
      <w:r w:rsidR="000024AB" w:rsidRPr="007A7841">
        <w:rPr>
          <w:lang w:eastAsia="en-AU"/>
        </w:rPr>
        <w:t>in the</w:t>
      </w:r>
      <w:r w:rsidR="004B20A1">
        <w:rPr>
          <w:lang w:eastAsia="en-AU"/>
        </w:rPr>
        <w:t xml:space="preserve"> </w:t>
      </w:r>
      <w:hyperlink r:id="rId11" w:history="1">
        <w:r w:rsidR="0017360A" w:rsidRPr="0017360A">
          <w:rPr>
            <w:rStyle w:val="Hyperlink"/>
            <w:color w:val="auto"/>
            <w:sz w:val="22"/>
            <w:szCs w:val="22"/>
            <w:u w:val="none"/>
            <w:bdr w:val="none" w:sz="0" w:space="0" w:color="auto"/>
            <w:lang w:eastAsia="en-AU"/>
          </w:rPr>
          <w:t>Cost Recovery Implementation Statement</w:t>
        </w:r>
      </w:hyperlink>
      <w:r w:rsidR="000024AB" w:rsidRPr="00B00DF3">
        <w:rPr>
          <w:lang w:eastAsia="en-AU"/>
        </w:rPr>
        <w:t xml:space="preserve"> </w:t>
      </w:r>
      <w:r w:rsidR="00492C4D">
        <w:rPr>
          <w:lang w:eastAsia="en-AU"/>
        </w:rPr>
        <w:t xml:space="preserve">that </w:t>
      </w:r>
      <w:r w:rsidR="000024AB" w:rsidRPr="007A7841">
        <w:rPr>
          <w:lang w:eastAsia="en-AU"/>
        </w:rPr>
        <w:t xml:space="preserve">is </w:t>
      </w:r>
      <w:r w:rsidR="004D5270" w:rsidRPr="00944FE1">
        <w:rPr>
          <w:lang w:eastAsia="en-AU"/>
        </w:rPr>
        <w:t>published</w:t>
      </w:r>
      <w:r w:rsidR="000024AB" w:rsidRPr="00944FE1">
        <w:rPr>
          <w:lang w:eastAsia="en-AU"/>
        </w:rPr>
        <w:t xml:space="preserve"> on the Department’s website</w:t>
      </w:r>
      <w:r w:rsidR="00492C4D" w:rsidRPr="00944FE1">
        <w:rPr>
          <w:lang w:eastAsia="en-AU"/>
        </w:rPr>
        <w:t xml:space="preserve"> at </w:t>
      </w:r>
      <w:r w:rsidR="00972082" w:rsidRPr="00972082">
        <w:rPr>
          <w:lang w:eastAsia="en-AU"/>
        </w:rPr>
        <w:t>https://www.environment.gov.au/epbc/publications/cost-recovery-implementation-statement-2016-17</w:t>
      </w:r>
      <w:hyperlink r:id="rId12" w:history="1"/>
      <w:r w:rsidR="0058337B" w:rsidRPr="00944FE1">
        <w:rPr>
          <w:lang w:eastAsia="en-AU"/>
        </w:rPr>
        <w:t>.</w:t>
      </w:r>
      <w:r w:rsidR="004D5270" w:rsidRPr="00944FE1">
        <w:rPr>
          <w:lang w:eastAsia="en-AU"/>
        </w:rPr>
        <w:t xml:space="preserve"> </w:t>
      </w:r>
      <w:r w:rsidR="007D4F30" w:rsidRPr="00944FE1">
        <w:rPr>
          <w:lang w:eastAsia="en-AU"/>
        </w:rPr>
        <w:t xml:space="preserve">This contains the </w:t>
      </w:r>
      <w:r w:rsidR="007A3B2E">
        <w:rPr>
          <w:lang w:eastAsia="en-AU"/>
        </w:rPr>
        <w:t xml:space="preserve">current </w:t>
      </w:r>
      <w:r w:rsidR="007D4F30" w:rsidRPr="00944FE1">
        <w:rPr>
          <w:lang w:eastAsia="en-AU"/>
        </w:rPr>
        <w:t>fee structure for cost recovery.</w:t>
      </w:r>
      <w:r w:rsidR="007D4F30">
        <w:rPr>
          <w:lang w:eastAsia="en-AU"/>
        </w:rPr>
        <w:t xml:space="preserve"> </w:t>
      </w:r>
    </w:p>
    <w:p w:rsidR="002566ED" w:rsidRPr="002566ED" w:rsidRDefault="002B381C" w:rsidP="002566ED">
      <w:pPr>
        <w:rPr>
          <w:lang w:eastAsia="en-AU"/>
        </w:rPr>
      </w:pPr>
      <w:r>
        <w:rPr>
          <w:lang w:val="en-US"/>
        </w:rPr>
        <w:t>E</w:t>
      </w:r>
      <w:r w:rsidR="00352174" w:rsidRPr="007A7841">
        <w:rPr>
          <w:lang w:val="en-US"/>
        </w:rPr>
        <w:t xml:space="preserve">ach project </w:t>
      </w:r>
      <w:r>
        <w:rPr>
          <w:lang w:val="en-US"/>
        </w:rPr>
        <w:t xml:space="preserve">referred under the EPBC Act </w:t>
      </w:r>
      <w:r w:rsidR="00352174" w:rsidRPr="007A7841">
        <w:rPr>
          <w:lang w:val="en-US"/>
        </w:rPr>
        <w:t>will be subject to the following fees:</w:t>
      </w:r>
    </w:p>
    <w:p w:rsidR="002566ED" w:rsidRDefault="00352174" w:rsidP="002566ED">
      <w:pPr>
        <w:pStyle w:val="ListBullet"/>
        <w:rPr>
          <w:lang w:eastAsia="en-AU"/>
        </w:rPr>
      </w:pPr>
      <w:r w:rsidRPr="007A7841">
        <w:rPr>
          <w:lang w:eastAsia="en-AU"/>
        </w:rPr>
        <w:t xml:space="preserve">a </w:t>
      </w:r>
      <w:r w:rsidR="002B381C">
        <w:rPr>
          <w:lang w:eastAsia="en-AU"/>
        </w:rPr>
        <w:t xml:space="preserve">set </w:t>
      </w:r>
      <w:r w:rsidRPr="007A7841">
        <w:rPr>
          <w:lang w:eastAsia="en-AU"/>
        </w:rPr>
        <w:t xml:space="preserve">referral fee at the time </w:t>
      </w:r>
      <w:r w:rsidR="00561350" w:rsidRPr="007A7841">
        <w:rPr>
          <w:lang w:eastAsia="en-AU"/>
        </w:rPr>
        <w:t>the</w:t>
      </w:r>
      <w:r w:rsidRPr="007A7841">
        <w:rPr>
          <w:lang w:eastAsia="en-AU"/>
        </w:rPr>
        <w:t xml:space="preserve"> EPBC referral form</w:t>
      </w:r>
      <w:r w:rsidR="002B381C">
        <w:rPr>
          <w:lang w:eastAsia="en-AU"/>
        </w:rPr>
        <w:t xml:space="preserve"> is submitted;</w:t>
      </w:r>
    </w:p>
    <w:p w:rsidR="002566ED" w:rsidRDefault="00352174" w:rsidP="002566ED">
      <w:pPr>
        <w:pStyle w:val="ListBullet"/>
        <w:rPr>
          <w:lang w:eastAsia="en-AU"/>
        </w:rPr>
      </w:pPr>
      <w:r w:rsidRPr="007A7841">
        <w:rPr>
          <w:lang w:eastAsia="en-AU"/>
        </w:rPr>
        <w:t xml:space="preserve">base </w:t>
      </w:r>
      <w:r w:rsidR="000040FE">
        <w:rPr>
          <w:lang w:eastAsia="en-AU"/>
        </w:rPr>
        <w:t>fees</w:t>
      </w:r>
      <w:r w:rsidR="000040FE" w:rsidRPr="007A7841">
        <w:rPr>
          <w:lang w:eastAsia="en-AU"/>
        </w:rPr>
        <w:t xml:space="preserve"> </w:t>
      </w:r>
      <w:r w:rsidR="004B1C7A" w:rsidRPr="007A7841">
        <w:rPr>
          <w:lang w:eastAsia="en-AU"/>
        </w:rPr>
        <w:t>if the project proceeds to assessment</w:t>
      </w:r>
      <w:r w:rsidR="002B381C">
        <w:rPr>
          <w:lang w:eastAsia="en-AU"/>
        </w:rPr>
        <w:t>; and</w:t>
      </w:r>
    </w:p>
    <w:p w:rsidR="00C55235" w:rsidRPr="007A7841" w:rsidRDefault="00352174">
      <w:pPr>
        <w:pStyle w:val="ListBullet"/>
        <w:rPr>
          <w:lang w:eastAsia="en-AU"/>
        </w:rPr>
      </w:pPr>
      <w:r w:rsidRPr="007A7841">
        <w:rPr>
          <w:lang w:eastAsia="en-AU"/>
        </w:rPr>
        <w:t xml:space="preserve">complexity </w:t>
      </w:r>
      <w:r w:rsidR="000040FE">
        <w:rPr>
          <w:lang w:eastAsia="en-AU"/>
        </w:rPr>
        <w:t>fees</w:t>
      </w:r>
      <w:r w:rsidR="004B1C7A" w:rsidRPr="007A7841">
        <w:rPr>
          <w:lang w:eastAsia="en-AU"/>
        </w:rPr>
        <w:t xml:space="preserve">, </w:t>
      </w:r>
      <w:r w:rsidR="00781371">
        <w:rPr>
          <w:lang w:eastAsia="en-AU"/>
        </w:rPr>
        <w:t>as appropriate</w:t>
      </w:r>
      <w:r w:rsidRPr="007A7841">
        <w:rPr>
          <w:lang w:eastAsia="en-AU"/>
        </w:rPr>
        <w:t>.</w:t>
      </w:r>
    </w:p>
    <w:p w:rsidR="00B27B9D" w:rsidRDefault="002B381C" w:rsidP="002B381C">
      <w:pPr>
        <w:pStyle w:val="ListBullet"/>
        <w:numPr>
          <w:ilvl w:val="0"/>
          <w:numId w:val="0"/>
        </w:numPr>
        <w:rPr>
          <w:lang w:eastAsia="en-AU"/>
        </w:rPr>
      </w:pPr>
      <w:r>
        <w:rPr>
          <w:lang w:eastAsia="en-AU"/>
        </w:rPr>
        <w:lastRenderedPageBreak/>
        <w:t>Fees for assessment by public inquiry or by strategic assessment will be determined by the Minister on a case by case basis, in consultation with the person taking the action or the person responsible for the policy, plan or program, as applicable.</w:t>
      </w:r>
    </w:p>
    <w:p w:rsidR="008F7144" w:rsidRDefault="0017360A" w:rsidP="008F714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17360A">
        <w:rPr>
          <w:rFonts w:eastAsia="Times New Roman" w:cs="Arial"/>
          <w:sz w:val="29"/>
          <w:szCs w:val="29"/>
          <w:lang w:eastAsia="en-AU"/>
        </w:rPr>
        <w:t>What if I don’t agree with the schedule of fees issued to me?</w:t>
      </w:r>
      <w:r w:rsidR="008F7144" w:rsidRPr="008F7144">
        <w:rPr>
          <w:rFonts w:eastAsia="Times New Roman" w:cs="Arial"/>
          <w:sz w:val="29"/>
          <w:szCs w:val="29"/>
          <w:lang w:eastAsia="en-AU"/>
        </w:rPr>
        <w:t xml:space="preserve"> </w:t>
      </w:r>
    </w:p>
    <w:p w:rsidR="004F3494" w:rsidRDefault="0017360A">
      <w:pPr>
        <w:rPr>
          <w:lang w:eastAsia="en-AU"/>
        </w:rPr>
      </w:pPr>
      <w:r w:rsidRPr="008F7144">
        <w:rPr>
          <w:lang w:eastAsia="en-AU"/>
        </w:rPr>
        <w:t xml:space="preserve">If you do not agree with the schedule of fees </w:t>
      </w:r>
      <w:r w:rsidR="00C82CE0" w:rsidRPr="008F7144">
        <w:rPr>
          <w:lang w:eastAsia="en-AU"/>
        </w:rPr>
        <w:t>issued</w:t>
      </w:r>
      <w:r w:rsidRPr="008F7144">
        <w:rPr>
          <w:lang w:eastAsia="en-AU"/>
        </w:rPr>
        <w:t xml:space="preserve"> </w:t>
      </w:r>
      <w:r w:rsidRPr="0017360A">
        <w:rPr>
          <w:lang w:eastAsia="en-AU"/>
        </w:rPr>
        <w:t>to you</w:t>
      </w:r>
      <w:r w:rsidR="00781371">
        <w:rPr>
          <w:lang w:eastAsia="en-AU"/>
        </w:rPr>
        <w:t xml:space="preserve"> by the Department</w:t>
      </w:r>
      <w:r w:rsidR="00C82CE0">
        <w:rPr>
          <w:lang w:eastAsia="en-AU"/>
        </w:rPr>
        <w:t>,</w:t>
      </w:r>
      <w:r w:rsidR="00C82CE0" w:rsidRPr="00C82CE0">
        <w:rPr>
          <w:lang w:eastAsia="en-AU"/>
        </w:rPr>
        <w:t xml:space="preserve"> </w:t>
      </w:r>
      <w:r w:rsidR="00C82CE0">
        <w:rPr>
          <w:lang w:eastAsia="en-AU"/>
        </w:rPr>
        <w:t>y</w:t>
      </w:r>
      <w:r w:rsidR="00C82CE0" w:rsidRPr="0017360A">
        <w:rPr>
          <w:lang w:eastAsia="en-AU"/>
        </w:rPr>
        <w:t xml:space="preserve">ou can apply for a </w:t>
      </w:r>
      <w:r w:rsidR="00C82CE0">
        <w:rPr>
          <w:lang w:eastAsia="en-AU"/>
        </w:rPr>
        <w:t>‘</w:t>
      </w:r>
      <w:r w:rsidR="00C82CE0" w:rsidRPr="00781371">
        <w:rPr>
          <w:i/>
          <w:lang w:eastAsia="en-AU"/>
        </w:rPr>
        <w:t>reconsideration of fees’</w:t>
      </w:r>
      <w:r w:rsidR="00C82CE0" w:rsidRPr="0017360A">
        <w:rPr>
          <w:lang w:eastAsia="en-AU"/>
        </w:rPr>
        <w:t xml:space="preserve"> within 30 business days of receiving </w:t>
      </w:r>
      <w:r w:rsidR="00C82CE0" w:rsidRPr="008E051B">
        <w:rPr>
          <w:lang w:eastAsia="en-AU"/>
        </w:rPr>
        <w:t>the schedule of fees.</w:t>
      </w:r>
      <w:r w:rsidR="00781371" w:rsidRPr="008E051B">
        <w:rPr>
          <w:lang w:eastAsia="en-AU"/>
        </w:rPr>
        <w:t xml:space="preserve"> </w:t>
      </w:r>
      <w:r w:rsidR="00C82CE0" w:rsidRPr="008E051B">
        <w:rPr>
          <w:lang w:eastAsia="en-AU"/>
        </w:rPr>
        <w:t>You</w:t>
      </w:r>
      <w:r w:rsidRPr="008E051B">
        <w:rPr>
          <w:lang w:eastAsia="en-AU"/>
        </w:rPr>
        <w:t xml:space="preserve"> can only a</w:t>
      </w:r>
      <w:r w:rsidRPr="0017360A">
        <w:rPr>
          <w:lang w:eastAsia="en-AU"/>
        </w:rPr>
        <w:t xml:space="preserve">pply once in respect of a fee. Once the Department receives a reconsideration request, a person senior to the person who </w:t>
      </w:r>
      <w:r w:rsidR="00492C4D">
        <w:rPr>
          <w:lang w:eastAsia="en-AU"/>
        </w:rPr>
        <w:t xml:space="preserve">calculated </w:t>
      </w:r>
      <w:r w:rsidRPr="0017360A">
        <w:rPr>
          <w:lang w:eastAsia="en-AU"/>
        </w:rPr>
        <w:t xml:space="preserve">the original fee will reconsider the method used to </w:t>
      </w:r>
      <w:r w:rsidR="00492C4D">
        <w:rPr>
          <w:lang w:eastAsia="en-AU"/>
        </w:rPr>
        <w:t>calculate</w:t>
      </w:r>
      <w:r w:rsidRPr="0017360A">
        <w:rPr>
          <w:lang w:eastAsia="en-AU"/>
        </w:rPr>
        <w:t xml:space="preserve"> the fee</w:t>
      </w:r>
      <w:r w:rsidR="001A61DB">
        <w:rPr>
          <w:lang w:eastAsia="en-AU"/>
        </w:rPr>
        <w:t>,</w:t>
      </w:r>
      <w:r w:rsidRPr="0017360A">
        <w:rPr>
          <w:lang w:eastAsia="en-AU"/>
        </w:rPr>
        <w:t xml:space="preserve"> and either confirm the fee or work out a new fee. </w:t>
      </w:r>
      <w:r w:rsidR="001A61DB">
        <w:rPr>
          <w:lang w:eastAsia="en-AU"/>
        </w:rPr>
        <w:t>A</w:t>
      </w:r>
      <w:r w:rsidR="001A61DB" w:rsidRPr="0017360A">
        <w:rPr>
          <w:lang w:eastAsia="en-AU"/>
        </w:rPr>
        <w:t xml:space="preserve"> </w:t>
      </w:r>
      <w:r w:rsidRPr="0017360A">
        <w:rPr>
          <w:lang w:eastAsia="en-AU"/>
        </w:rPr>
        <w:t>new fee can be higher or lower than the original fee.</w:t>
      </w:r>
    </w:p>
    <w:p w:rsidR="0017360A" w:rsidRPr="0017360A" w:rsidRDefault="0017360A" w:rsidP="0017360A">
      <w:pPr>
        <w:pStyle w:val="ListBullet"/>
        <w:numPr>
          <w:ilvl w:val="0"/>
          <w:numId w:val="0"/>
        </w:numPr>
        <w:ind w:left="369" w:hanging="369"/>
        <w:rPr>
          <w:lang w:val="en-US" w:eastAsia="en-AU"/>
        </w:rPr>
      </w:pPr>
      <w:r w:rsidRPr="0017360A">
        <w:rPr>
          <w:lang w:val="en-US" w:eastAsia="en-AU"/>
        </w:rPr>
        <w:t xml:space="preserve">The methods used to calculate a </w:t>
      </w:r>
      <w:r w:rsidR="001A61DB">
        <w:rPr>
          <w:lang w:val="en-US" w:eastAsia="en-AU"/>
        </w:rPr>
        <w:t xml:space="preserve">schedule of </w:t>
      </w:r>
      <w:r w:rsidRPr="0017360A">
        <w:rPr>
          <w:lang w:val="en-US" w:eastAsia="en-AU"/>
        </w:rPr>
        <w:t>fee</w:t>
      </w:r>
      <w:r w:rsidR="001A61DB">
        <w:rPr>
          <w:lang w:val="en-US" w:eastAsia="en-AU"/>
        </w:rPr>
        <w:t>s</w:t>
      </w:r>
      <w:r w:rsidRPr="0017360A">
        <w:rPr>
          <w:lang w:val="en-US" w:eastAsia="en-AU"/>
        </w:rPr>
        <w:t xml:space="preserve"> are:</w:t>
      </w:r>
    </w:p>
    <w:p w:rsidR="0017360A" w:rsidRPr="0017360A" w:rsidRDefault="00EE3FFC" w:rsidP="0017360A">
      <w:pPr>
        <w:pStyle w:val="ListBullet"/>
        <w:rPr>
          <w:lang w:eastAsia="en-AU"/>
        </w:rPr>
      </w:pPr>
      <w:r>
        <w:rPr>
          <w:lang w:eastAsia="en-AU"/>
        </w:rPr>
        <w:t>d</w:t>
      </w:r>
      <w:r w:rsidR="0017360A" w:rsidRPr="0017360A">
        <w:rPr>
          <w:lang w:eastAsia="en-AU"/>
        </w:rPr>
        <w:t>etermining the level of complexity for a fee component;</w:t>
      </w:r>
    </w:p>
    <w:p w:rsidR="0017360A" w:rsidRPr="0017360A" w:rsidRDefault="00EE3FFC" w:rsidP="0017360A">
      <w:pPr>
        <w:pStyle w:val="ListBullet"/>
        <w:rPr>
          <w:lang w:eastAsia="en-AU"/>
        </w:rPr>
      </w:pPr>
      <w:r>
        <w:rPr>
          <w:lang w:eastAsia="en-AU"/>
        </w:rPr>
        <w:t>a</w:t>
      </w:r>
      <w:r w:rsidR="0017360A" w:rsidRPr="0017360A">
        <w:rPr>
          <w:lang w:eastAsia="en-AU"/>
        </w:rPr>
        <w:t>dding together the complexity fees;</w:t>
      </w:r>
    </w:p>
    <w:p w:rsidR="0017360A" w:rsidRPr="00831296" w:rsidRDefault="00EE3FFC" w:rsidP="0017360A">
      <w:pPr>
        <w:pStyle w:val="ListBullet"/>
        <w:rPr>
          <w:lang w:eastAsia="en-AU"/>
        </w:rPr>
      </w:pPr>
      <w:r w:rsidRPr="00831296">
        <w:rPr>
          <w:lang w:eastAsia="en-AU"/>
        </w:rPr>
        <w:t>t</w:t>
      </w:r>
      <w:r w:rsidR="0017360A" w:rsidRPr="00831296">
        <w:rPr>
          <w:lang w:eastAsia="en-AU"/>
        </w:rPr>
        <w:t>he amount of a partial refund</w:t>
      </w:r>
      <w:r w:rsidR="00303F68">
        <w:rPr>
          <w:lang w:eastAsia="en-AU"/>
        </w:rPr>
        <w:t xml:space="preserve"> (see FAQ </w:t>
      </w:r>
      <w:r w:rsidR="007916BF">
        <w:rPr>
          <w:lang w:eastAsia="en-AU"/>
        </w:rPr>
        <w:t>#</w:t>
      </w:r>
      <w:r w:rsidR="00303F68">
        <w:rPr>
          <w:lang w:eastAsia="en-AU"/>
        </w:rPr>
        <w:t>14)</w:t>
      </w:r>
      <w:r w:rsidR="0017360A" w:rsidRPr="00831296">
        <w:rPr>
          <w:lang w:eastAsia="en-AU"/>
        </w:rPr>
        <w:t>; and</w:t>
      </w:r>
    </w:p>
    <w:p w:rsidR="0017360A" w:rsidRPr="0017360A" w:rsidRDefault="00EE3FFC" w:rsidP="0017360A">
      <w:pPr>
        <w:pStyle w:val="ListBullet"/>
        <w:rPr>
          <w:lang w:eastAsia="en-AU"/>
        </w:rPr>
      </w:pPr>
      <w:r>
        <w:rPr>
          <w:lang w:eastAsia="en-AU"/>
        </w:rPr>
        <w:t>a</w:t>
      </w:r>
      <w:r w:rsidR="0017360A" w:rsidRPr="0017360A">
        <w:rPr>
          <w:lang w:eastAsia="en-AU"/>
        </w:rPr>
        <w:t xml:space="preserve"> notification as to whether a variation to an action management plan is administrative or not.</w:t>
      </w:r>
    </w:p>
    <w:p w:rsidR="008F7144" w:rsidRDefault="004774DB" w:rsidP="008F714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8F7144">
        <w:rPr>
          <w:rFonts w:eastAsia="Times New Roman" w:cs="Arial"/>
          <w:sz w:val="29"/>
          <w:szCs w:val="29"/>
          <w:lang w:eastAsia="en-AU"/>
        </w:rPr>
        <w:t xml:space="preserve">How </w:t>
      </w:r>
      <w:r w:rsidR="001A61DB" w:rsidRPr="008F7144">
        <w:rPr>
          <w:rFonts w:eastAsia="Times New Roman" w:cs="Arial"/>
          <w:sz w:val="29"/>
          <w:szCs w:val="29"/>
          <w:lang w:eastAsia="en-AU"/>
        </w:rPr>
        <w:t xml:space="preserve">are </w:t>
      </w:r>
      <w:r w:rsidRPr="008F7144">
        <w:rPr>
          <w:rFonts w:eastAsia="Times New Roman" w:cs="Arial"/>
          <w:sz w:val="29"/>
          <w:szCs w:val="29"/>
          <w:lang w:eastAsia="en-AU"/>
        </w:rPr>
        <w:t>fees paid to the Department?</w:t>
      </w:r>
      <w:r w:rsidR="008F7144" w:rsidRPr="008F7144">
        <w:rPr>
          <w:rFonts w:eastAsia="Times New Roman" w:cs="Arial"/>
          <w:sz w:val="29"/>
          <w:szCs w:val="29"/>
          <w:lang w:eastAsia="en-AU"/>
        </w:rPr>
        <w:t xml:space="preserve"> </w:t>
      </w:r>
    </w:p>
    <w:p w:rsidR="004F3494" w:rsidRDefault="004774DB">
      <w:pPr>
        <w:rPr>
          <w:lang w:eastAsia="en-AU"/>
        </w:rPr>
      </w:pPr>
      <w:r>
        <w:rPr>
          <w:lang w:eastAsia="en-AU"/>
        </w:rPr>
        <w:t xml:space="preserve">There </w:t>
      </w:r>
      <w:r w:rsidR="001977ED">
        <w:rPr>
          <w:lang w:eastAsia="en-AU"/>
        </w:rPr>
        <w:t>are several</w:t>
      </w:r>
      <w:r>
        <w:rPr>
          <w:lang w:eastAsia="en-AU"/>
        </w:rPr>
        <w:t xml:space="preserve"> payment options, including payment by credit card, electronic transfer or cheque.</w:t>
      </w:r>
      <w:r w:rsidR="0017360A" w:rsidRPr="0017360A">
        <w:rPr>
          <w:lang w:val="en-US"/>
        </w:rPr>
        <w:t xml:space="preserve"> </w:t>
      </w:r>
      <w:r w:rsidR="00281133">
        <w:rPr>
          <w:lang w:val="en-US"/>
        </w:rPr>
        <w:t>The Department will provide invoices to proponents</w:t>
      </w:r>
      <w:r w:rsidR="00B66346">
        <w:rPr>
          <w:lang w:val="en-US"/>
        </w:rPr>
        <w:t xml:space="preserve"> (except for the referral fee)</w:t>
      </w:r>
      <w:r w:rsidR="00281133">
        <w:rPr>
          <w:lang w:val="en-US"/>
        </w:rPr>
        <w:t>, detailing the required payment information</w:t>
      </w:r>
      <w:r w:rsidR="00B66346">
        <w:rPr>
          <w:lang w:val="en-US"/>
        </w:rPr>
        <w:t xml:space="preserve"> and </w:t>
      </w:r>
      <w:r w:rsidR="001977ED">
        <w:rPr>
          <w:lang w:val="en-US"/>
        </w:rPr>
        <w:t>payment methods</w:t>
      </w:r>
      <w:r w:rsidR="00281133">
        <w:rPr>
          <w:lang w:val="en-US"/>
        </w:rPr>
        <w:t>.</w:t>
      </w:r>
    </w:p>
    <w:p w:rsidR="008F7144" w:rsidRDefault="0034269C" w:rsidP="008F7144">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8F7144">
        <w:rPr>
          <w:rFonts w:eastAsia="Times New Roman" w:cs="Arial"/>
          <w:sz w:val="29"/>
          <w:szCs w:val="29"/>
          <w:lang w:eastAsia="en-AU"/>
        </w:rPr>
        <w:t>When are fees paid?</w:t>
      </w:r>
    </w:p>
    <w:p w:rsidR="004F3494" w:rsidRDefault="0034269C">
      <w:pPr>
        <w:rPr>
          <w:lang w:val="en-US"/>
        </w:rPr>
      </w:pPr>
      <w:r>
        <w:rPr>
          <w:lang w:val="en-US"/>
        </w:rPr>
        <w:t xml:space="preserve">A set referral fee is payable by the person proposing to take an action following the receipt of an EPBC Act number. </w:t>
      </w:r>
    </w:p>
    <w:p w:rsidR="0017360A" w:rsidRDefault="0034269C" w:rsidP="0017360A">
      <w:pPr>
        <w:spacing w:before="240"/>
        <w:rPr>
          <w:lang w:eastAsia="en-AU"/>
        </w:rPr>
      </w:pPr>
      <w:r w:rsidRPr="00112838">
        <w:rPr>
          <w:lang w:eastAsia="en-AU"/>
        </w:rPr>
        <w:t xml:space="preserve">For environmental assessments, the entire cost of an assessment </w:t>
      </w:r>
      <w:r>
        <w:rPr>
          <w:lang w:eastAsia="en-AU"/>
        </w:rPr>
        <w:t xml:space="preserve">(base </w:t>
      </w:r>
      <w:r w:rsidR="000040FE">
        <w:rPr>
          <w:lang w:eastAsia="en-AU"/>
        </w:rPr>
        <w:t>fees</w:t>
      </w:r>
      <w:r>
        <w:rPr>
          <w:lang w:eastAsia="en-AU"/>
        </w:rPr>
        <w:t xml:space="preserve"> plus complexity </w:t>
      </w:r>
      <w:r w:rsidR="000040FE">
        <w:rPr>
          <w:lang w:eastAsia="en-AU"/>
        </w:rPr>
        <w:t>fees</w:t>
      </w:r>
      <w:r>
        <w:rPr>
          <w:lang w:eastAsia="en-AU"/>
        </w:rPr>
        <w:t>) is</w:t>
      </w:r>
      <w:r w:rsidRPr="00112838">
        <w:rPr>
          <w:lang w:eastAsia="en-AU"/>
        </w:rPr>
        <w:t xml:space="preserve"> identified at the start of the process. Th</w:t>
      </w:r>
      <w:r>
        <w:rPr>
          <w:lang w:eastAsia="en-AU"/>
        </w:rPr>
        <w:t>e</w:t>
      </w:r>
      <w:r w:rsidRPr="00112838">
        <w:rPr>
          <w:lang w:eastAsia="en-AU"/>
        </w:rPr>
        <w:t xml:space="preserve"> cost </w:t>
      </w:r>
      <w:r>
        <w:rPr>
          <w:lang w:eastAsia="en-AU"/>
        </w:rPr>
        <w:t>is</w:t>
      </w:r>
      <w:r w:rsidRPr="00112838">
        <w:rPr>
          <w:lang w:eastAsia="en-AU"/>
        </w:rPr>
        <w:t xml:space="preserve"> broken down </w:t>
      </w:r>
      <w:r>
        <w:rPr>
          <w:lang w:eastAsia="en-AU"/>
        </w:rPr>
        <w:t>for each assessment stage</w:t>
      </w:r>
      <w:r w:rsidR="00867645">
        <w:rPr>
          <w:lang w:eastAsia="en-AU"/>
        </w:rPr>
        <w:t>.</w:t>
      </w:r>
      <w:r>
        <w:rPr>
          <w:lang w:eastAsia="en-AU"/>
        </w:rPr>
        <w:t xml:space="preserve"> </w:t>
      </w:r>
      <w:r w:rsidR="00867645">
        <w:rPr>
          <w:lang w:eastAsia="en-AU"/>
        </w:rPr>
        <w:t>F</w:t>
      </w:r>
      <w:r w:rsidRPr="00112838">
        <w:rPr>
          <w:lang w:eastAsia="en-AU"/>
        </w:rPr>
        <w:t xml:space="preserve">ees must be paid </w:t>
      </w:r>
      <w:r>
        <w:rPr>
          <w:lang w:eastAsia="en-AU"/>
        </w:rPr>
        <w:t>before</w:t>
      </w:r>
      <w:r w:rsidRPr="00112838">
        <w:rPr>
          <w:lang w:eastAsia="en-AU"/>
        </w:rPr>
        <w:t xml:space="preserve"> each </w:t>
      </w:r>
      <w:r>
        <w:rPr>
          <w:lang w:eastAsia="en-AU"/>
        </w:rPr>
        <w:t>stage</w:t>
      </w:r>
      <w:r w:rsidRPr="00112838">
        <w:rPr>
          <w:lang w:eastAsia="en-AU"/>
        </w:rPr>
        <w:t xml:space="preserve"> of the assessment process </w:t>
      </w:r>
      <w:r>
        <w:rPr>
          <w:lang w:eastAsia="en-AU"/>
        </w:rPr>
        <w:t>begins</w:t>
      </w:r>
      <w:r w:rsidR="002E7222">
        <w:rPr>
          <w:lang w:eastAsia="en-AU"/>
        </w:rPr>
        <w:t xml:space="preserve">, following </w:t>
      </w:r>
      <w:r w:rsidR="00867645">
        <w:rPr>
          <w:lang w:eastAsia="en-AU"/>
        </w:rPr>
        <w:t>receipt of an invoice from the Department</w:t>
      </w:r>
      <w:r>
        <w:rPr>
          <w:lang w:eastAsia="en-AU"/>
        </w:rPr>
        <w:t xml:space="preserve">. Fees may also apply if additional information is requested by the Minister during either the referral or assessment processes. </w:t>
      </w:r>
    </w:p>
    <w:p w:rsidR="004F3494" w:rsidRDefault="0017360A">
      <w:pPr>
        <w:spacing w:after="0"/>
        <w:rPr>
          <w:lang w:val="en-US"/>
        </w:rPr>
      </w:pPr>
      <w:r w:rsidRPr="0017360A">
        <w:rPr>
          <w:lang w:val="en-US"/>
        </w:rPr>
        <w:t xml:space="preserve">All environmental assessment processes under the EPBC Act have four assessment stages, set out in the legislation and EPBC Regulations, with the exception of Assessment on Referral Information, which only has three stages. Fees for each assessment stage </w:t>
      </w:r>
      <w:r w:rsidR="002E7222">
        <w:rPr>
          <w:lang w:val="en-US"/>
        </w:rPr>
        <w:t>must</w:t>
      </w:r>
      <w:r w:rsidRPr="0017360A">
        <w:rPr>
          <w:lang w:val="en-US"/>
        </w:rPr>
        <w:t xml:space="preserve"> be paid prior to </w:t>
      </w:r>
      <w:r w:rsidR="0098149C">
        <w:rPr>
          <w:lang w:val="en-US"/>
        </w:rPr>
        <w:t xml:space="preserve">the commencement of </w:t>
      </w:r>
      <w:r w:rsidRPr="0017360A">
        <w:rPr>
          <w:lang w:val="en-US"/>
        </w:rPr>
        <w:t xml:space="preserve">each </w:t>
      </w:r>
      <w:r w:rsidR="002E7222">
        <w:rPr>
          <w:lang w:val="en-US"/>
        </w:rPr>
        <w:t xml:space="preserve">stage of </w:t>
      </w:r>
      <w:r w:rsidRPr="0017360A">
        <w:rPr>
          <w:lang w:val="en-US"/>
        </w:rPr>
        <w:t>assessmen</w:t>
      </w:r>
      <w:r w:rsidR="0098149C">
        <w:rPr>
          <w:lang w:val="en-US"/>
        </w:rPr>
        <w:t xml:space="preserve">t. </w:t>
      </w:r>
      <w:r w:rsidRPr="0017360A">
        <w:rPr>
          <w:lang w:val="en-US"/>
        </w:rPr>
        <w:t xml:space="preserve">Work will not commence on a stage of assessment until the </w:t>
      </w:r>
      <w:r w:rsidR="001977ED">
        <w:rPr>
          <w:lang w:val="en-US"/>
        </w:rPr>
        <w:t xml:space="preserve">respective </w:t>
      </w:r>
      <w:r w:rsidRPr="0017360A">
        <w:rPr>
          <w:lang w:val="en-US"/>
        </w:rPr>
        <w:t>fee is paid.</w:t>
      </w:r>
    </w:p>
    <w:p w:rsidR="0017360A" w:rsidRPr="00917F79" w:rsidRDefault="0017360A" w:rsidP="0017360A">
      <w:pPr>
        <w:spacing w:before="240"/>
        <w:rPr>
          <w:lang w:val="en-US"/>
        </w:rPr>
      </w:pPr>
      <w:r w:rsidRPr="0017360A">
        <w:rPr>
          <w:lang w:val="en-US"/>
        </w:rPr>
        <w:t xml:space="preserve">For example, if a project is being assessed by Preliminary Documentation, and is ready to proceed to Stage 2 of that process, an </w:t>
      </w:r>
      <w:r w:rsidRPr="00917F79">
        <w:rPr>
          <w:lang w:val="en-US"/>
        </w:rPr>
        <w:t>invoice will be issued with the fees for Stage 2 and these fees will need to be paid before Stage 2 can proceed.</w:t>
      </w:r>
    </w:p>
    <w:p w:rsidR="00F2787A" w:rsidRDefault="00F2787A" w:rsidP="00F2787A">
      <w:pPr>
        <w:rPr>
          <w:lang w:eastAsia="en-AU"/>
        </w:rPr>
      </w:pPr>
      <w:r w:rsidRPr="00112838">
        <w:rPr>
          <w:lang w:eastAsia="en-AU"/>
        </w:rPr>
        <w:t xml:space="preserve">If the project is withdrawn, </w:t>
      </w:r>
      <w:r>
        <w:rPr>
          <w:lang w:eastAsia="en-AU"/>
        </w:rPr>
        <w:t xml:space="preserve">lapsed, reconsidered </w:t>
      </w:r>
      <w:r w:rsidRPr="00112838">
        <w:rPr>
          <w:lang w:eastAsia="en-AU"/>
        </w:rPr>
        <w:t xml:space="preserve">or otherwise does not commence, the </w:t>
      </w:r>
      <w:r>
        <w:rPr>
          <w:lang w:val="en-US"/>
        </w:rPr>
        <w:t>person proposing to take an action</w:t>
      </w:r>
      <w:r w:rsidRPr="00112838">
        <w:rPr>
          <w:lang w:eastAsia="en-AU"/>
        </w:rPr>
        <w:t xml:space="preserve"> </w:t>
      </w:r>
      <w:r>
        <w:rPr>
          <w:lang w:eastAsia="en-AU"/>
        </w:rPr>
        <w:t xml:space="preserve">is not </w:t>
      </w:r>
      <w:r w:rsidRPr="00112838">
        <w:rPr>
          <w:lang w:eastAsia="en-AU"/>
        </w:rPr>
        <w:t>charged the fees associated</w:t>
      </w:r>
      <w:r>
        <w:rPr>
          <w:lang w:eastAsia="en-AU"/>
        </w:rPr>
        <w:t xml:space="preserve"> with the remaining stages of the assessment. </w:t>
      </w:r>
    </w:p>
    <w:p w:rsidR="00BD2EA6" w:rsidRDefault="00F2787A" w:rsidP="00F2787A">
      <w:pPr>
        <w:rPr>
          <w:lang w:eastAsia="en-AU"/>
        </w:rPr>
      </w:pPr>
      <w:r w:rsidRPr="00917F79">
        <w:rPr>
          <w:lang w:eastAsia="en-AU"/>
        </w:rPr>
        <w:lastRenderedPageBreak/>
        <w:t xml:space="preserve">Details of how cost recovery fees for each stage of the assessment process are calculated is included in the </w:t>
      </w:r>
      <w:hyperlink r:id="rId13" w:history="1">
        <w:r w:rsidR="007541FF" w:rsidRPr="00434AB3">
          <w:rPr>
            <w:rStyle w:val="Hyperlink"/>
            <w:sz w:val="22"/>
            <w:szCs w:val="22"/>
            <w:bdr w:val="none" w:sz="0" w:space="0" w:color="auto"/>
          </w:rPr>
          <w:t>Cost Recovery Implementation Statement 2016</w:t>
        </w:r>
      </w:hyperlink>
      <w:r>
        <w:rPr>
          <w:lang w:eastAsia="en-AU"/>
        </w:rPr>
        <w:t>.</w:t>
      </w:r>
    </w:p>
    <w:p w:rsidR="00433F22" w:rsidRDefault="0034269C" w:rsidP="00433F22">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433F22">
        <w:rPr>
          <w:rFonts w:eastAsia="Times New Roman" w:cs="Arial"/>
          <w:sz w:val="29"/>
          <w:szCs w:val="29"/>
          <w:lang w:eastAsia="en-AU"/>
        </w:rPr>
        <w:t>What happens if I don’t pay the fees?</w:t>
      </w:r>
      <w:r w:rsidR="00265E96" w:rsidRPr="00433F22">
        <w:rPr>
          <w:rFonts w:eastAsia="Times New Roman" w:cs="Arial"/>
          <w:sz w:val="29"/>
          <w:szCs w:val="29"/>
          <w:lang w:eastAsia="en-AU"/>
        </w:rPr>
        <w:t xml:space="preserve"> </w:t>
      </w:r>
    </w:p>
    <w:p w:rsidR="004F3494" w:rsidRDefault="0034269C">
      <w:pPr>
        <w:rPr>
          <w:lang w:val="en-US"/>
        </w:rPr>
      </w:pPr>
      <w:r>
        <w:rPr>
          <w:lang w:val="en-US"/>
        </w:rPr>
        <w:t xml:space="preserve">Fees are paid by the person proposing to take an action prior to </w:t>
      </w:r>
      <w:r w:rsidRPr="00FC12C4">
        <w:rPr>
          <w:lang w:val="en-US"/>
        </w:rPr>
        <w:t>each stage of the assessment</w:t>
      </w:r>
      <w:r>
        <w:rPr>
          <w:lang w:val="en-US"/>
        </w:rPr>
        <w:t>.</w:t>
      </w:r>
      <w:r w:rsidRPr="00F93081">
        <w:rPr>
          <w:lang w:eastAsia="en-AU"/>
        </w:rPr>
        <w:t xml:space="preserve"> </w:t>
      </w:r>
      <w:r w:rsidR="001977ED">
        <w:rPr>
          <w:lang w:val="en-US"/>
        </w:rPr>
        <w:t xml:space="preserve">The referral fee must be paid prior to work commencing for a referral decision. </w:t>
      </w:r>
      <w:r w:rsidR="00721A26">
        <w:rPr>
          <w:lang w:eastAsia="en-AU"/>
        </w:rPr>
        <w:t xml:space="preserve">Work will not commence on a stage of </w:t>
      </w:r>
      <w:r w:rsidR="00B666E7">
        <w:rPr>
          <w:lang w:eastAsia="en-AU"/>
        </w:rPr>
        <w:t xml:space="preserve">the </w:t>
      </w:r>
      <w:r w:rsidR="00721A26">
        <w:rPr>
          <w:lang w:eastAsia="en-AU"/>
        </w:rPr>
        <w:t xml:space="preserve">assessment until the fees for that stage are paid. </w:t>
      </w:r>
      <w:r>
        <w:rPr>
          <w:lang w:eastAsia="en-AU"/>
        </w:rPr>
        <w:t xml:space="preserve">The statutory assessment clock will not commence until the fee is paid. </w:t>
      </w:r>
    </w:p>
    <w:p w:rsidR="00433F22" w:rsidRDefault="004774DB" w:rsidP="00433F22">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433F22">
        <w:rPr>
          <w:rFonts w:eastAsia="Times New Roman" w:cs="Arial"/>
          <w:sz w:val="29"/>
          <w:szCs w:val="29"/>
          <w:lang w:eastAsia="en-AU"/>
        </w:rPr>
        <w:t>Are there exemptions or waivers?</w:t>
      </w:r>
      <w:r w:rsidR="00265E96" w:rsidRPr="00433F22">
        <w:rPr>
          <w:rFonts w:eastAsia="Times New Roman" w:cs="Arial"/>
          <w:sz w:val="29"/>
          <w:szCs w:val="29"/>
          <w:lang w:eastAsia="en-AU"/>
        </w:rPr>
        <w:t xml:space="preserve"> </w:t>
      </w:r>
    </w:p>
    <w:p w:rsidR="004F3494" w:rsidRDefault="004774DB">
      <w:pPr>
        <w:rPr>
          <w:lang w:eastAsia="en-AU"/>
        </w:rPr>
      </w:pPr>
      <w:r>
        <w:rPr>
          <w:lang w:eastAsia="en-AU"/>
        </w:rPr>
        <w:t>There are e</w:t>
      </w:r>
      <w:r w:rsidRPr="00112838">
        <w:rPr>
          <w:lang w:eastAsia="en-AU"/>
        </w:rPr>
        <w:t>xemption and waiver criteria for environmental assessments</w:t>
      </w:r>
      <w:r>
        <w:rPr>
          <w:lang w:eastAsia="en-AU"/>
        </w:rPr>
        <w:t>.</w:t>
      </w:r>
      <w:r w:rsidR="00DD4538">
        <w:rPr>
          <w:lang w:eastAsia="en-AU"/>
        </w:rPr>
        <w:t xml:space="preserve"> I</w:t>
      </w:r>
      <w:r>
        <w:rPr>
          <w:lang w:eastAsia="en-AU"/>
        </w:rPr>
        <w:t xml:space="preserve">ndividuals and </w:t>
      </w:r>
      <w:r w:rsidR="00F1076B">
        <w:rPr>
          <w:lang w:eastAsia="en-AU"/>
        </w:rPr>
        <w:t xml:space="preserve">some </w:t>
      </w:r>
      <w:r>
        <w:rPr>
          <w:lang w:eastAsia="en-AU"/>
        </w:rPr>
        <w:t xml:space="preserve">small </w:t>
      </w:r>
      <w:r w:rsidRPr="00112838">
        <w:rPr>
          <w:lang w:eastAsia="en-AU"/>
        </w:rPr>
        <w:t xml:space="preserve">businesses </w:t>
      </w:r>
      <w:r w:rsidR="00DD4538">
        <w:rPr>
          <w:lang w:eastAsia="en-AU"/>
        </w:rPr>
        <w:t>may apply</w:t>
      </w:r>
      <w:r w:rsidR="00BA0CEE">
        <w:rPr>
          <w:lang w:eastAsia="en-AU"/>
        </w:rPr>
        <w:t xml:space="preserve"> for an exemption from fees</w:t>
      </w:r>
      <w:r>
        <w:rPr>
          <w:lang w:eastAsia="en-AU"/>
        </w:rPr>
        <w:t xml:space="preserve">. </w:t>
      </w:r>
      <w:r w:rsidRPr="00112838">
        <w:rPr>
          <w:lang w:eastAsia="en-AU"/>
        </w:rPr>
        <w:t xml:space="preserve">This exemption </w:t>
      </w:r>
      <w:r>
        <w:rPr>
          <w:lang w:eastAsia="en-AU"/>
        </w:rPr>
        <w:t>may</w:t>
      </w:r>
      <w:r w:rsidRPr="00112838">
        <w:rPr>
          <w:lang w:eastAsia="en-AU"/>
        </w:rPr>
        <w:t xml:space="preserve"> apply </w:t>
      </w:r>
      <w:r>
        <w:rPr>
          <w:lang w:eastAsia="en-AU"/>
        </w:rPr>
        <w:t>to</w:t>
      </w:r>
      <w:r w:rsidRPr="00112838">
        <w:rPr>
          <w:lang w:eastAsia="en-AU"/>
        </w:rPr>
        <w:t xml:space="preserve"> small agricultural businesses,</w:t>
      </w:r>
      <w:r w:rsidR="008046DC">
        <w:rPr>
          <w:lang w:eastAsia="en-AU"/>
        </w:rPr>
        <w:t xml:space="preserve"> </w:t>
      </w:r>
      <w:r>
        <w:rPr>
          <w:lang w:eastAsia="en-AU"/>
        </w:rPr>
        <w:t xml:space="preserve">farmers, </w:t>
      </w:r>
      <w:r w:rsidRPr="00112838">
        <w:rPr>
          <w:lang w:eastAsia="en-AU"/>
        </w:rPr>
        <w:t xml:space="preserve">small tourism operators and individuals that are conducting research. </w:t>
      </w:r>
      <w:r>
        <w:rPr>
          <w:lang w:eastAsia="en-AU"/>
        </w:rPr>
        <w:t>For instance, if a person referring an agriculture project is an individual they will be exempt from cost recovery fees, including referral fees.</w:t>
      </w:r>
    </w:p>
    <w:p w:rsidR="0017360A" w:rsidRDefault="004774DB" w:rsidP="0017360A">
      <w:pPr>
        <w:spacing w:before="240"/>
        <w:rPr>
          <w:lang w:eastAsia="en-AU"/>
        </w:rPr>
      </w:pPr>
      <w:r>
        <w:rPr>
          <w:lang w:eastAsia="en-AU"/>
        </w:rPr>
        <w:t xml:space="preserve">The </w:t>
      </w:r>
      <w:r w:rsidRPr="00112838">
        <w:rPr>
          <w:lang w:eastAsia="en-AU"/>
        </w:rPr>
        <w:t xml:space="preserve">Minister </w:t>
      </w:r>
      <w:r>
        <w:rPr>
          <w:lang w:eastAsia="en-AU"/>
        </w:rPr>
        <w:t xml:space="preserve">will have </w:t>
      </w:r>
      <w:r w:rsidRPr="00112838">
        <w:rPr>
          <w:lang w:eastAsia="en-AU"/>
        </w:rPr>
        <w:t>discretion to waive fees for environmental assessments</w:t>
      </w:r>
      <w:r>
        <w:rPr>
          <w:lang w:eastAsia="en-AU"/>
        </w:rPr>
        <w:t xml:space="preserve"> in particular circumstances</w:t>
      </w:r>
      <w:r w:rsidR="00A63BB5">
        <w:rPr>
          <w:lang w:eastAsia="en-AU"/>
        </w:rPr>
        <w:t>:</w:t>
      </w:r>
    </w:p>
    <w:p w:rsidR="0017360A" w:rsidRDefault="00126F60" w:rsidP="0017360A">
      <w:pPr>
        <w:pStyle w:val="ListBullet"/>
        <w:rPr>
          <w:lang w:eastAsia="en-AU"/>
        </w:rPr>
      </w:pPr>
      <w:r>
        <w:rPr>
          <w:lang w:eastAsia="en-AU"/>
        </w:rPr>
        <w:t>where t</w:t>
      </w:r>
      <w:r w:rsidR="00A63BB5">
        <w:rPr>
          <w:lang w:eastAsia="en-AU"/>
        </w:rPr>
        <w:t>he Minister determines that the action’s primary objective is to protect the environment; or</w:t>
      </w:r>
    </w:p>
    <w:p w:rsidR="0017360A" w:rsidRDefault="00126F60" w:rsidP="0017360A">
      <w:pPr>
        <w:pStyle w:val="ListBullet"/>
        <w:rPr>
          <w:lang w:eastAsia="en-AU"/>
        </w:rPr>
      </w:pPr>
      <w:r>
        <w:rPr>
          <w:lang w:eastAsia="en-AU"/>
        </w:rPr>
        <w:t>where t</w:t>
      </w:r>
      <w:r w:rsidR="00A63BB5">
        <w:rPr>
          <w:lang w:eastAsia="en-AU"/>
        </w:rPr>
        <w:t>he Minister determines it is in the public interest to do so; or</w:t>
      </w:r>
    </w:p>
    <w:p w:rsidR="0017360A" w:rsidRDefault="00126F60" w:rsidP="0017360A">
      <w:pPr>
        <w:pStyle w:val="ListBullet"/>
        <w:rPr>
          <w:lang w:eastAsia="en-AU"/>
        </w:rPr>
      </w:pPr>
      <w:r>
        <w:rPr>
          <w:lang w:eastAsia="en-AU"/>
        </w:rPr>
        <w:t>where t</w:t>
      </w:r>
      <w:r w:rsidR="00A63BB5">
        <w:rPr>
          <w:lang w:eastAsia="en-AU"/>
        </w:rPr>
        <w:t>he Minister determines there are other exceptional circumstances justifying the waiver</w:t>
      </w:r>
      <w:r w:rsidR="004774DB" w:rsidRPr="00112838">
        <w:rPr>
          <w:lang w:eastAsia="en-AU"/>
        </w:rPr>
        <w:t>.</w:t>
      </w:r>
    </w:p>
    <w:p w:rsidR="0017360A" w:rsidRDefault="004774DB" w:rsidP="0017360A">
      <w:pPr>
        <w:pStyle w:val="ListBullet"/>
        <w:numPr>
          <w:ilvl w:val="0"/>
          <w:numId w:val="0"/>
        </w:numPr>
        <w:rPr>
          <w:lang w:eastAsia="en-AU"/>
        </w:rPr>
      </w:pPr>
      <w:r>
        <w:rPr>
          <w:lang w:eastAsia="en-AU"/>
        </w:rPr>
        <w:t xml:space="preserve">The </w:t>
      </w:r>
      <w:r w:rsidR="00A63BB5">
        <w:rPr>
          <w:lang w:eastAsia="en-AU"/>
        </w:rPr>
        <w:t>process of notifying that a person qualifies for an</w:t>
      </w:r>
      <w:r>
        <w:rPr>
          <w:lang w:eastAsia="en-AU"/>
        </w:rPr>
        <w:t xml:space="preserve"> exemption and </w:t>
      </w:r>
      <w:r w:rsidR="00A63BB5">
        <w:rPr>
          <w:lang w:eastAsia="en-AU"/>
        </w:rPr>
        <w:t xml:space="preserve">applying for a </w:t>
      </w:r>
      <w:r>
        <w:rPr>
          <w:lang w:eastAsia="en-AU"/>
        </w:rPr>
        <w:t xml:space="preserve">waiver is </w:t>
      </w:r>
      <w:r w:rsidRPr="00112838">
        <w:rPr>
          <w:lang w:eastAsia="en-AU"/>
        </w:rPr>
        <w:t>outlined in the</w:t>
      </w:r>
      <w:r w:rsidR="00BA0CEE">
        <w:rPr>
          <w:lang w:eastAsia="en-AU"/>
        </w:rPr>
        <w:t xml:space="preserve"> EPBC Regulations</w:t>
      </w:r>
      <w:r w:rsidR="00E30526">
        <w:rPr>
          <w:lang w:eastAsia="en-AU"/>
        </w:rPr>
        <w:t xml:space="preserve"> </w:t>
      </w:r>
      <w:hyperlink r:id="rId14" w:history="1">
        <w:r w:rsidR="0098149C" w:rsidRPr="001C09B8">
          <w:rPr>
            <w:rStyle w:val="Hyperlink"/>
            <w:sz w:val="22"/>
            <w:szCs w:val="22"/>
            <w:bdr w:val="none" w:sz="0" w:space="0" w:color="auto"/>
            <w:lang w:eastAsia="en-AU"/>
          </w:rPr>
          <w:t>http://www.comlaw.gov.au/</w:t>
        </w:r>
      </w:hyperlink>
      <w:r w:rsidR="0098149C">
        <w:rPr>
          <w:lang w:eastAsia="en-AU"/>
        </w:rPr>
        <w:t>.</w:t>
      </w:r>
    </w:p>
    <w:p w:rsidR="00433F22" w:rsidRDefault="004774DB" w:rsidP="00433F22">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433F22">
        <w:rPr>
          <w:rFonts w:eastAsia="Times New Roman" w:cs="Arial"/>
          <w:sz w:val="29"/>
          <w:szCs w:val="29"/>
          <w:lang w:eastAsia="en-AU"/>
        </w:rPr>
        <w:t>Are there any refunds?</w:t>
      </w:r>
      <w:r w:rsidR="00265E96" w:rsidRPr="00433F22">
        <w:rPr>
          <w:rFonts w:eastAsia="Times New Roman" w:cs="Arial"/>
          <w:sz w:val="29"/>
          <w:szCs w:val="29"/>
          <w:lang w:eastAsia="en-AU"/>
        </w:rPr>
        <w:t xml:space="preserve"> </w:t>
      </w:r>
    </w:p>
    <w:p w:rsidR="00433F22" w:rsidRDefault="004774DB" w:rsidP="00433F22">
      <w:pPr>
        <w:rPr>
          <w:color w:val="000000"/>
        </w:rPr>
      </w:pPr>
      <w:r>
        <w:t>The Department will refund fees in limited circumstances</w:t>
      </w:r>
      <w:r w:rsidR="00425D25">
        <w:t>, including if a person pays a fee that the person is not required to pay or if a person overpays a fee</w:t>
      </w:r>
      <w:r>
        <w:t xml:space="preserve">. </w:t>
      </w:r>
      <w:r w:rsidR="00A43B29">
        <w:t xml:space="preserve">A partial refund of a fee may occur if a person requests a reconsideration of the fees paid and the fee is reduced following the reconsideration process. </w:t>
      </w:r>
    </w:p>
    <w:p w:rsidR="00D5646B" w:rsidRDefault="00425D25" w:rsidP="00433F22">
      <w:pPr>
        <w:rPr>
          <w:lang w:eastAsia="en-AU"/>
        </w:rPr>
      </w:pPr>
      <w:r>
        <w:t xml:space="preserve">The full details of refunds </w:t>
      </w:r>
      <w:r>
        <w:rPr>
          <w:lang w:eastAsia="en-AU"/>
        </w:rPr>
        <w:t xml:space="preserve">are </w:t>
      </w:r>
      <w:r w:rsidRPr="00112838">
        <w:rPr>
          <w:lang w:eastAsia="en-AU"/>
        </w:rPr>
        <w:t>outlined in the</w:t>
      </w:r>
      <w:r>
        <w:rPr>
          <w:lang w:eastAsia="en-AU"/>
        </w:rPr>
        <w:t xml:space="preserve"> EPBC Regulations </w:t>
      </w:r>
      <w:hyperlink r:id="rId15" w:history="1">
        <w:r w:rsidR="00D5646B" w:rsidRPr="001C09B8">
          <w:rPr>
            <w:rStyle w:val="Hyperlink"/>
            <w:sz w:val="22"/>
            <w:szCs w:val="22"/>
            <w:bdr w:val="none" w:sz="0" w:space="0" w:color="auto"/>
            <w:lang w:eastAsia="en-AU"/>
          </w:rPr>
          <w:t>http://www.comlaw.gov.au/</w:t>
        </w:r>
      </w:hyperlink>
    </w:p>
    <w:p w:rsidR="00433F22" w:rsidRDefault="0017360A" w:rsidP="00433F22">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433F22">
        <w:rPr>
          <w:rFonts w:eastAsia="Times New Roman" w:cs="Arial"/>
          <w:sz w:val="29"/>
          <w:szCs w:val="29"/>
          <w:lang w:eastAsia="en-AU"/>
        </w:rPr>
        <w:t>How much information should I provide with my referral?</w:t>
      </w:r>
      <w:r w:rsidR="00265E96" w:rsidRPr="00433F22">
        <w:rPr>
          <w:rFonts w:eastAsia="Times New Roman" w:cs="Arial"/>
          <w:sz w:val="29"/>
          <w:szCs w:val="29"/>
          <w:lang w:eastAsia="en-AU"/>
        </w:rPr>
        <w:t xml:space="preserve"> </w:t>
      </w:r>
    </w:p>
    <w:p w:rsidR="004F3494" w:rsidRDefault="006C5C69">
      <w:pPr>
        <w:rPr>
          <w:color w:val="000000"/>
        </w:rPr>
      </w:pPr>
      <w:r>
        <w:rPr>
          <w:color w:val="000000"/>
        </w:rPr>
        <w:t xml:space="preserve">The referral form on the Department’s website and the EPBC Regulations detail the information you should provide with your referral. </w:t>
      </w:r>
    </w:p>
    <w:p w:rsidR="00A43B29" w:rsidRDefault="00FF6B64" w:rsidP="006C5C69">
      <w:pPr>
        <w:rPr>
          <w:color w:val="000000"/>
        </w:rPr>
      </w:pPr>
      <w:r>
        <w:rPr>
          <w:color w:val="000000"/>
        </w:rPr>
        <w:t xml:space="preserve">The information provided in a referral </w:t>
      </w:r>
      <w:r w:rsidR="006D6846">
        <w:rPr>
          <w:color w:val="000000"/>
        </w:rPr>
        <w:t>is</w:t>
      </w:r>
      <w:r>
        <w:rPr>
          <w:color w:val="000000"/>
        </w:rPr>
        <w:t xml:space="preserve"> used to determine the complexity fees that will be payable. An estimate of these complexity fees will be included in the schedule of fees provided to you at the time of the assessment approach decision. </w:t>
      </w:r>
    </w:p>
    <w:p w:rsidR="002A551B" w:rsidRDefault="00FF6B64" w:rsidP="002A551B">
      <w:pPr>
        <w:rPr>
          <w:rFonts w:eastAsia="Times New Roman" w:cs="Arial"/>
          <w:sz w:val="29"/>
          <w:szCs w:val="29"/>
          <w:lang w:eastAsia="en-AU"/>
        </w:rPr>
      </w:pPr>
      <w:r>
        <w:rPr>
          <w:color w:val="000000"/>
        </w:rPr>
        <w:t xml:space="preserve">Where, during stages 1 and 2 of the assessment, you provide additional necessary information, the final amount of additional complexity fees </w:t>
      </w:r>
      <w:r w:rsidR="006D6846">
        <w:rPr>
          <w:color w:val="000000"/>
        </w:rPr>
        <w:t xml:space="preserve">may </w:t>
      </w:r>
      <w:r>
        <w:rPr>
          <w:color w:val="000000"/>
        </w:rPr>
        <w:t>be reduced from the estimated amount. If the required information is not provided, then you will be required to pay the full estimated amount of the additional complexity fees during st</w:t>
      </w:r>
      <w:r w:rsidR="00A43B29">
        <w:rPr>
          <w:color w:val="000000"/>
        </w:rPr>
        <w:t xml:space="preserve">ages 3 </w:t>
      </w:r>
      <w:r w:rsidR="00A43B29" w:rsidRPr="00917F79">
        <w:rPr>
          <w:color w:val="000000"/>
        </w:rPr>
        <w:t>and 4 of the assessment.</w:t>
      </w:r>
      <w:r w:rsidRPr="00917F79">
        <w:rPr>
          <w:color w:val="000000"/>
        </w:rPr>
        <w:t xml:space="preserve"> Refer to Examples 2 and 3 in the </w:t>
      </w:r>
      <w:hyperlink r:id="rId16" w:history="1">
        <w:r w:rsidR="00DD4538" w:rsidRPr="00434AB3">
          <w:rPr>
            <w:rStyle w:val="Hyperlink"/>
            <w:sz w:val="22"/>
            <w:szCs w:val="22"/>
            <w:bdr w:val="none" w:sz="0" w:space="0" w:color="auto"/>
          </w:rPr>
          <w:t>Cost Recovery Implementation Statement 2016</w:t>
        </w:r>
      </w:hyperlink>
      <w:r w:rsidR="00DD4538">
        <w:t xml:space="preserve"> </w:t>
      </w:r>
      <w:r w:rsidRPr="00917F79">
        <w:rPr>
          <w:color w:val="000000"/>
        </w:rPr>
        <w:t>for further information about how additional complexity fees may be reduced.</w:t>
      </w:r>
      <w:r>
        <w:rPr>
          <w:color w:val="000000"/>
        </w:rPr>
        <w:t xml:space="preserve"> </w:t>
      </w:r>
    </w:p>
    <w:p w:rsidR="000B0B92" w:rsidRDefault="000B0B92" w:rsidP="000B0B92">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433F22">
        <w:rPr>
          <w:rFonts w:eastAsia="Times New Roman" w:cs="Arial"/>
          <w:sz w:val="29"/>
          <w:szCs w:val="29"/>
          <w:lang w:eastAsia="en-AU"/>
        </w:rPr>
        <w:lastRenderedPageBreak/>
        <w:t>When will my referral be processed?</w:t>
      </w:r>
    </w:p>
    <w:p w:rsidR="000B0B92" w:rsidRDefault="000B0B92" w:rsidP="000B0B92">
      <w:pPr>
        <w:rPr>
          <w:lang w:eastAsia="en-AU"/>
        </w:rPr>
      </w:pPr>
      <w:r>
        <w:rPr>
          <w:lang w:eastAsia="en-AU"/>
        </w:rPr>
        <w:t>The</w:t>
      </w:r>
      <w:r w:rsidRPr="004A2404">
        <w:rPr>
          <w:lang w:eastAsia="en-AU"/>
        </w:rPr>
        <w:t xml:space="preserve"> referral </w:t>
      </w:r>
      <w:r>
        <w:rPr>
          <w:lang w:eastAsia="en-AU"/>
        </w:rPr>
        <w:t>process and respective statutory timeframe do not commence until the referral fee has been paid.</w:t>
      </w:r>
      <w:r w:rsidRPr="004A2404">
        <w:rPr>
          <w:lang w:eastAsia="en-AU"/>
        </w:rPr>
        <w:t xml:space="preserve"> </w:t>
      </w:r>
      <w:r>
        <w:rPr>
          <w:lang w:eastAsia="en-AU"/>
        </w:rPr>
        <w:t>Once the fee is paid and a valid referral has been submitted, the referral will be processed in 20 business days subject to EPBC Act requirements.</w:t>
      </w:r>
    </w:p>
    <w:p w:rsidR="00265E96" w:rsidRDefault="00090287"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265E96">
        <w:rPr>
          <w:rFonts w:eastAsia="Times New Roman" w:cs="Arial"/>
          <w:sz w:val="29"/>
          <w:szCs w:val="29"/>
          <w:lang w:eastAsia="en-AU"/>
        </w:rPr>
        <w:t>How will projects that transition from Commonwealth assessment to a state or territory approval process be dealt with?</w:t>
      </w:r>
      <w:r w:rsidR="00265E96" w:rsidRPr="00265E96">
        <w:rPr>
          <w:rFonts w:eastAsia="Times New Roman" w:cs="Arial"/>
          <w:sz w:val="29"/>
          <w:szCs w:val="29"/>
          <w:lang w:eastAsia="en-AU"/>
        </w:rPr>
        <w:t xml:space="preserve"> </w:t>
      </w:r>
    </w:p>
    <w:p w:rsidR="004F3494" w:rsidRDefault="00090287">
      <w:pPr>
        <w:rPr>
          <w:lang w:eastAsia="en-AU"/>
        </w:rPr>
      </w:pPr>
      <w:r>
        <w:rPr>
          <w:lang w:eastAsia="en-AU"/>
        </w:rPr>
        <w:t xml:space="preserve">If a project is withdrawn from a Commonwealth assessment and approval process to be assessed under a state or territory approval bilateral agreement, then no further fees will be due for assessment stages that </w:t>
      </w:r>
      <w:r w:rsidR="006C7E18">
        <w:rPr>
          <w:lang w:eastAsia="en-AU"/>
        </w:rPr>
        <w:t>are not</w:t>
      </w:r>
      <w:r>
        <w:rPr>
          <w:lang w:eastAsia="en-AU"/>
        </w:rPr>
        <w:t xml:space="preserve"> undertaken by the Commonwealth.  </w:t>
      </w:r>
    </w:p>
    <w:p w:rsidR="00265E96" w:rsidRDefault="00913424"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265E96">
        <w:rPr>
          <w:rFonts w:eastAsia="Times New Roman" w:cs="Arial"/>
          <w:sz w:val="29"/>
          <w:szCs w:val="29"/>
          <w:lang w:eastAsia="en-AU"/>
        </w:rPr>
        <w:t>Does cost recovery guarantee approval?</w:t>
      </w:r>
      <w:r w:rsidR="00265E96" w:rsidRPr="00265E96">
        <w:rPr>
          <w:rFonts w:eastAsia="Times New Roman" w:cs="Arial"/>
          <w:sz w:val="29"/>
          <w:szCs w:val="29"/>
          <w:lang w:eastAsia="en-AU"/>
        </w:rPr>
        <w:t xml:space="preserve"> </w:t>
      </w:r>
    </w:p>
    <w:p w:rsidR="004F3494" w:rsidRDefault="00913424">
      <w:pPr>
        <w:rPr>
          <w:lang w:eastAsia="en-AU"/>
        </w:rPr>
      </w:pPr>
      <w:r w:rsidRPr="00112838">
        <w:rPr>
          <w:lang w:eastAsia="en-AU"/>
        </w:rPr>
        <w:t xml:space="preserve">No. Cost recovery does not guarantee </w:t>
      </w:r>
      <w:r w:rsidR="00CB0F81">
        <w:rPr>
          <w:lang w:eastAsia="en-AU"/>
        </w:rPr>
        <w:t xml:space="preserve">project </w:t>
      </w:r>
      <w:r w:rsidRPr="00112838">
        <w:rPr>
          <w:lang w:eastAsia="en-AU"/>
        </w:rPr>
        <w:t xml:space="preserve">approval under national environmental law. </w:t>
      </w:r>
    </w:p>
    <w:p w:rsidR="001F462C" w:rsidRPr="00112838" w:rsidRDefault="00913424" w:rsidP="00913424">
      <w:pPr>
        <w:rPr>
          <w:lang w:eastAsia="en-AU"/>
        </w:rPr>
      </w:pPr>
      <w:r w:rsidRPr="00112838">
        <w:rPr>
          <w:lang w:eastAsia="en-AU"/>
        </w:rPr>
        <w:t>Cost recovery cover</w:t>
      </w:r>
      <w:r w:rsidR="00BE4C7D">
        <w:rPr>
          <w:lang w:eastAsia="en-AU"/>
        </w:rPr>
        <w:t>s</w:t>
      </w:r>
      <w:r w:rsidRPr="00112838">
        <w:rPr>
          <w:lang w:eastAsia="en-AU"/>
        </w:rPr>
        <w:t xml:space="preserve"> the cost of assessing applications and these costs are incurred whether the assessment is approved</w:t>
      </w:r>
      <w:r>
        <w:rPr>
          <w:lang w:eastAsia="en-AU"/>
        </w:rPr>
        <w:t xml:space="preserve"> or not</w:t>
      </w:r>
      <w:r w:rsidRPr="00112838">
        <w:rPr>
          <w:lang w:eastAsia="en-AU"/>
        </w:rPr>
        <w:t>.</w:t>
      </w:r>
      <w:r w:rsidR="001F462C">
        <w:rPr>
          <w:lang w:eastAsia="en-AU"/>
        </w:rPr>
        <w:t xml:space="preserve"> Similarly, a referral fee applies whether or not the proposal is </w:t>
      </w:r>
      <w:r w:rsidR="00103046">
        <w:rPr>
          <w:lang w:eastAsia="en-AU"/>
        </w:rPr>
        <w:t>either</w:t>
      </w:r>
      <w:r w:rsidR="00410D81">
        <w:rPr>
          <w:lang w:eastAsia="en-AU"/>
        </w:rPr>
        <w:t xml:space="preserve"> </w:t>
      </w:r>
      <w:r w:rsidR="001F462C">
        <w:rPr>
          <w:lang w:eastAsia="en-AU"/>
        </w:rPr>
        <w:t xml:space="preserve">determined to be a </w:t>
      </w:r>
      <w:r w:rsidR="00410D81">
        <w:rPr>
          <w:lang w:eastAsia="en-AU"/>
        </w:rPr>
        <w:t>‘</w:t>
      </w:r>
      <w:r w:rsidR="001F462C">
        <w:rPr>
          <w:lang w:eastAsia="en-AU"/>
        </w:rPr>
        <w:t>controlled action</w:t>
      </w:r>
      <w:r w:rsidR="00410D81">
        <w:rPr>
          <w:lang w:eastAsia="en-AU"/>
        </w:rPr>
        <w:t>’</w:t>
      </w:r>
      <w:r w:rsidR="001F462C">
        <w:rPr>
          <w:lang w:eastAsia="en-AU"/>
        </w:rPr>
        <w:t xml:space="preserve"> requiring further assessment </w:t>
      </w:r>
      <w:r w:rsidR="004763DA">
        <w:rPr>
          <w:lang w:eastAsia="en-AU"/>
        </w:rPr>
        <w:t>and approval</w:t>
      </w:r>
      <w:r w:rsidR="00410D81">
        <w:rPr>
          <w:lang w:eastAsia="en-AU"/>
        </w:rPr>
        <w:t>,</w:t>
      </w:r>
      <w:r w:rsidR="004763DA">
        <w:rPr>
          <w:lang w:eastAsia="en-AU"/>
        </w:rPr>
        <w:t xml:space="preserve"> </w:t>
      </w:r>
      <w:r w:rsidR="001F462C">
        <w:rPr>
          <w:lang w:eastAsia="en-AU"/>
        </w:rPr>
        <w:t>or</w:t>
      </w:r>
      <w:r w:rsidR="00410D81">
        <w:rPr>
          <w:lang w:eastAsia="en-AU"/>
        </w:rPr>
        <w:t xml:space="preserve"> determined to be</w:t>
      </w:r>
      <w:r w:rsidR="001F462C">
        <w:rPr>
          <w:lang w:eastAsia="en-AU"/>
        </w:rPr>
        <w:t xml:space="preserve"> a </w:t>
      </w:r>
      <w:r w:rsidR="00410D81">
        <w:rPr>
          <w:lang w:eastAsia="en-AU"/>
        </w:rPr>
        <w:t>‘</w:t>
      </w:r>
      <w:r w:rsidR="001F462C">
        <w:rPr>
          <w:lang w:eastAsia="en-AU"/>
        </w:rPr>
        <w:t>not controlled action</w:t>
      </w:r>
      <w:r w:rsidR="00410D81">
        <w:rPr>
          <w:lang w:eastAsia="en-AU"/>
        </w:rPr>
        <w:t>’</w:t>
      </w:r>
      <w:r w:rsidR="001F462C">
        <w:rPr>
          <w:lang w:eastAsia="en-AU"/>
        </w:rPr>
        <w:t xml:space="preserve"> not requiring further assessment</w:t>
      </w:r>
      <w:r w:rsidR="004763DA">
        <w:rPr>
          <w:lang w:eastAsia="en-AU"/>
        </w:rPr>
        <w:t xml:space="preserve"> and approval</w:t>
      </w:r>
      <w:r w:rsidR="001F462C">
        <w:rPr>
          <w:lang w:eastAsia="en-AU"/>
        </w:rPr>
        <w:t>.</w:t>
      </w:r>
    </w:p>
    <w:p w:rsidR="00265E96" w:rsidRDefault="00FF6B64"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Pr>
          <w:rFonts w:eastAsia="Times New Roman" w:cs="Arial"/>
          <w:sz w:val="29"/>
          <w:szCs w:val="29"/>
          <w:lang w:eastAsia="en-AU"/>
        </w:rPr>
        <w:t xml:space="preserve">Do </w:t>
      </w:r>
      <w:r w:rsidR="00B17324">
        <w:rPr>
          <w:rFonts w:eastAsia="Times New Roman" w:cs="Arial"/>
          <w:sz w:val="29"/>
          <w:szCs w:val="29"/>
          <w:lang w:eastAsia="en-AU"/>
        </w:rPr>
        <w:t xml:space="preserve">I </w:t>
      </w:r>
      <w:r>
        <w:rPr>
          <w:rFonts w:eastAsia="Times New Roman" w:cs="Arial"/>
          <w:sz w:val="29"/>
          <w:szCs w:val="29"/>
          <w:lang w:eastAsia="en-AU"/>
        </w:rPr>
        <w:t xml:space="preserve">need to </w:t>
      </w:r>
      <w:r w:rsidR="00B17324">
        <w:rPr>
          <w:rFonts w:eastAsia="Times New Roman" w:cs="Arial"/>
          <w:sz w:val="29"/>
          <w:szCs w:val="29"/>
          <w:lang w:eastAsia="en-AU"/>
        </w:rPr>
        <w:t xml:space="preserve">refer if </w:t>
      </w:r>
      <w:r w:rsidR="0017360A" w:rsidRPr="0017360A">
        <w:rPr>
          <w:rFonts w:eastAsia="Times New Roman" w:cs="Arial"/>
          <w:sz w:val="29"/>
          <w:szCs w:val="29"/>
          <w:lang w:eastAsia="en-AU"/>
        </w:rPr>
        <w:t>I don’t want to pay the fees</w:t>
      </w:r>
      <w:r w:rsidR="00B17324">
        <w:rPr>
          <w:rFonts w:eastAsia="Times New Roman" w:cs="Arial"/>
          <w:sz w:val="29"/>
          <w:szCs w:val="29"/>
          <w:lang w:eastAsia="en-AU"/>
        </w:rPr>
        <w:t>?</w:t>
      </w:r>
      <w:r w:rsidR="00265E96" w:rsidRPr="00265E96">
        <w:rPr>
          <w:rFonts w:eastAsia="Times New Roman" w:cs="Arial"/>
          <w:sz w:val="29"/>
          <w:szCs w:val="29"/>
          <w:lang w:eastAsia="en-AU"/>
        </w:rPr>
        <w:t xml:space="preserve"> </w:t>
      </w:r>
    </w:p>
    <w:p w:rsidR="00CD77FA" w:rsidRPr="00C926DC" w:rsidRDefault="0017360A" w:rsidP="00CD77FA">
      <w:r w:rsidRPr="0017360A">
        <w:rPr>
          <w:lang w:eastAsia="en-AU"/>
        </w:rPr>
        <w:t xml:space="preserve">If you are proposing to take an action that could have a significant impact on a </w:t>
      </w:r>
      <w:hyperlink r:id="rId17" w:history="1">
        <w:r w:rsidRPr="0017360A">
          <w:rPr>
            <w:lang w:eastAsia="en-AU"/>
          </w:rPr>
          <w:t>matter of national environmental significance</w:t>
        </w:r>
      </w:hyperlink>
      <w:r w:rsidRPr="0017360A">
        <w:rPr>
          <w:lang w:eastAsia="en-AU"/>
        </w:rPr>
        <w:t xml:space="preserve">, you </w:t>
      </w:r>
      <w:r w:rsidR="00A41B9B">
        <w:rPr>
          <w:lang w:eastAsia="en-AU"/>
        </w:rPr>
        <w:t>should submit a referral of action form</w:t>
      </w:r>
      <w:r w:rsidRPr="0017360A">
        <w:rPr>
          <w:lang w:eastAsia="en-AU"/>
        </w:rPr>
        <w:t>.</w:t>
      </w:r>
      <w:r w:rsidR="00A41B9B">
        <w:rPr>
          <w:lang w:eastAsia="en-AU"/>
        </w:rPr>
        <w:t xml:space="preserve">  The purpose of the referral </w:t>
      </w:r>
      <w:r w:rsidR="00A41B9B" w:rsidRPr="00917F79">
        <w:rPr>
          <w:lang w:eastAsia="en-AU"/>
        </w:rPr>
        <w:t xml:space="preserve">process is to determine whether a proposed action requires assessment and approval under the </w:t>
      </w:r>
      <w:r w:rsidR="0062119C">
        <w:rPr>
          <w:lang w:eastAsia="en-AU"/>
        </w:rPr>
        <w:t>EPBC Act</w:t>
      </w:r>
      <w:r w:rsidR="00A41B9B" w:rsidRPr="00917F79">
        <w:rPr>
          <w:lang w:eastAsia="en-AU"/>
        </w:rPr>
        <w:t>.</w:t>
      </w:r>
      <w:r w:rsidRPr="00917F79">
        <w:rPr>
          <w:lang w:eastAsia="en-AU"/>
        </w:rPr>
        <w:t xml:space="preserve"> Contact the Department at </w:t>
      </w:r>
      <w:hyperlink r:id="rId18" w:history="1">
        <w:r w:rsidRPr="00917F79">
          <w:rPr>
            <w:rStyle w:val="Hyperlink"/>
            <w:sz w:val="22"/>
            <w:szCs w:val="22"/>
            <w:bdr w:val="none" w:sz="0" w:space="0" w:color="auto"/>
          </w:rPr>
          <w:t>epbc.referrals@environment.gov.au</w:t>
        </w:r>
      </w:hyperlink>
      <w:r w:rsidR="00944FE1" w:rsidRPr="00917F79">
        <w:t>,</w:t>
      </w:r>
      <w:r w:rsidRPr="00917F79">
        <w:rPr>
          <w:lang w:eastAsia="en-AU"/>
        </w:rPr>
        <w:t xml:space="preserve"> if you</w:t>
      </w:r>
      <w:r w:rsidRPr="0017360A">
        <w:rPr>
          <w:lang w:eastAsia="en-AU"/>
        </w:rPr>
        <w:t xml:space="preserve"> are not sure if your action may have a significant impact on a matter of national environmental significance.</w:t>
      </w:r>
    </w:p>
    <w:p w:rsidR="00CD77FA" w:rsidRPr="00CD77FA" w:rsidRDefault="0017360A" w:rsidP="00CD77FA">
      <w:pPr>
        <w:rPr>
          <w:lang w:eastAsia="en-AU"/>
        </w:rPr>
      </w:pPr>
      <w:r w:rsidRPr="0017360A">
        <w:rPr>
          <w:lang w:eastAsia="en-AU"/>
        </w:rPr>
        <w:t xml:space="preserve">A referral fee </w:t>
      </w:r>
      <w:r w:rsidR="00DD4538">
        <w:rPr>
          <w:lang w:eastAsia="en-AU"/>
        </w:rPr>
        <w:t xml:space="preserve">($6577) </w:t>
      </w:r>
      <w:r w:rsidRPr="0017360A">
        <w:rPr>
          <w:lang w:eastAsia="en-AU"/>
        </w:rPr>
        <w:t xml:space="preserve">is </w:t>
      </w:r>
      <w:r w:rsidR="006A2024">
        <w:rPr>
          <w:lang w:eastAsia="en-AU"/>
        </w:rPr>
        <w:t>payable at the time of referral</w:t>
      </w:r>
      <w:r w:rsidRPr="0017360A">
        <w:rPr>
          <w:lang w:eastAsia="en-AU"/>
        </w:rPr>
        <w:t>. A referral will not be processed if the applicable fee has not been paid.</w:t>
      </w:r>
    </w:p>
    <w:p w:rsidR="002A551B" w:rsidRDefault="0017360A" w:rsidP="002A551B">
      <w:pPr>
        <w:rPr>
          <w:lang w:eastAsia="en-AU"/>
        </w:rPr>
      </w:pPr>
      <w:r w:rsidRPr="0017360A">
        <w:rPr>
          <w:lang w:eastAsia="en-AU"/>
        </w:rPr>
        <w:t xml:space="preserve">If you </w:t>
      </w:r>
      <w:r w:rsidR="00667092">
        <w:rPr>
          <w:lang w:eastAsia="en-AU"/>
        </w:rPr>
        <w:t>proceed</w:t>
      </w:r>
      <w:r w:rsidRPr="0017360A">
        <w:rPr>
          <w:lang w:eastAsia="en-AU"/>
        </w:rPr>
        <w:t xml:space="preserve"> with an action that has or is likely to have a significant impact on a matter of national environmental significance, and you have not received an approval or </w:t>
      </w:r>
      <w:r w:rsidR="00667092">
        <w:rPr>
          <w:lang w:eastAsia="en-AU"/>
        </w:rPr>
        <w:t xml:space="preserve">notification that it is </w:t>
      </w:r>
      <w:r w:rsidRPr="0017360A">
        <w:rPr>
          <w:lang w:eastAsia="en-AU"/>
        </w:rPr>
        <w:t xml:space="preserve">‘not </w:t>
      </w:r>
      <w:r w:rsidR="00667092">
        <w:rPr>
          <w:lang w:eastAsia="en-AU"/>
        </w:rPr>
        <w:t xml:space="preserve">a </w:t>
      </w:r>
      <w:r w:rsidRPr="0017360A">
        <w:rPr>
          <w:lang w:eastAsia="en-AU"/>
        </w:rPr>
        <w:t xml:space="preserve">controlled action’, you may </w:t>
      </w:r>
      <w:hyperlink r:id="rId19" w:history="1">
        <w:r w:rsidRPr="0017360A">
          <w:rPr>
            <w:lang w:eastAsia="en-AU"/>
          </w:rPr>
          <w:t>be in breach</w:t>
        </w:r>
      </w:hyperlink>
      <w:r w:rsidRPr="0017360A">
        <w:rPr>
          <w:lang w:eastAsia="en-AU"/>
        </w:rPr>
        <w:t xml:space="preserve"> of the </w:t>
      </w:r>
      <w:r w:rsidR="0062119C">
        <w:rPr>
          <w:lang w:eastAsia="en-AU"/>
        </w:rPr>
        <w:t xml:space="preserve">EPBC Act </w:t>
      </w:r>
      <w:r w:rsidR="00667092">
        <w:rPr>
          <w:lang w:eastAsia="en-AU"/>
        </w:rPr>
        <w:t>and subject to penalty.</w:t>
      </w:r>
    </w:p>
    <w:p w:rsidR="00265E96" w:rsidRDefault="00240214"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Pr>
          <w:rFonts w:eastAsia="Times New Roman" w:cs="Arial"/>
          <w:sz w:val="29"/>
          <w:szCs w:val="29"/>
          <w:lang w:eastAsia="en-AU"/>
        </w:rPr>
        <w:t xml:space="preserve">Do I pay fees </w:t>
      </w:r>
      <w:r w:rsidR="0017360A" w:rsidRPr="0017360A">
        <w:rPr>
          <w:rFonts w:eastAsia="Times New Roman" w:cs="Arial"/>
          <w:sz w:val="29"/>
          <w:szCs w:val="29"/>
          <w:lang w:eastAsia="en-AU"/>
        </w:rPr>
        <w:t>under section</w:t>
      </w:r>
      <w:r w:rsidR="00625461">
        <w:rPr>
          <w:rFonts w:eastAsia="Times New Roman" w:cs="Arial"/>
          <w:sz w:val="29"/>
          <w:szCs w:val="29"/>
          <w:lang w:eastAsia="en-AU"/>
        </w:rPr>
        <w:t>s</w:t>
      </w:r>
      <w:r w:rsidR="0017360A" w:rsidRPr="0017360A">
        <w:rPr>
          <w:rFonts w:eastAsia="Times New Roman" w:cs="Arial"/>
          <w:sz w:val="29"/>
          <w:szCs w:val="29"/>
          <w:lang w:eastAsia="en-AU"/>
        </w:rPr>
        <w:t xml:space="preserve"> 160 </w:t>
      </w:r>
      <w:r w:rsidR="00625461">
        <w:rPr>
          <w:rFonts w:eastAsia="Times New Roman" w:cs="Arial"/>
          <w:sz w:val="29"/>
          <w:szCs w:val="29"/>
          <w:lang w:eastAsia="en-AU"/>
        </w:rPr>
        <w:t>to</w:t>
      </w:r>
      <w:r w:rsidR="0017360A" w:rsidRPr="0017360A">
        <w:rPr>
          <w:rFonts w:eastAsia="Times New Roman" w:cs="Arial"/>
          <w:sz w:val="29"/>
          <w:szCs w:val="29"/>
          <w:lang w:eastAsia="en-AU"/>
        </w:rPr>
        <w:t xml:space="preserve"> 16</w:t>
      </w:r>
      <w:r w:rsidR="00625461">
        <w:rPr>
          <w:rFonts w:eastAsia="Times New Roman" w:cs="Arial"/>
          <w:sz w:val="29"/>
          <w:szCs w:val="29"/>
          <w:lang w:eastAsia="en-AU"/>
        </w:rPr>
        <w:t>2</w:t>
      </w:r>
      <w:r w:rsidR="0017360A" w:rsidRPr="0017360A">
        <w:rPr>
          <w:rFonts w:eastAsia="Times New Roman" w:cs="Arial"/>
          <w:sz w:val="29"/>
          <w:szCs w:val="29"/>
          <w:lang w:eastAsia="en-AU"/>
        </w:rPr>
        <w:t xml:space="preserve"> of the EPBC Act?</w:t>
      </w:r>
    </w:p>
    <w:p w:rsidR="0017360A" w:rsidRPr="0017360A" w:rsidRDefault="0017360A" w:rsidP="00265E96">
      <w:pPr>
        <w:rPr>
          <w:lang w:eastAsia="en-AU"/>
        </w:rPr>
      </w:pPr>
      <w:r w:rsidRPr="0017360A">
        <w:rPr>
          <w:lang w:eastAsia="en-AU"/>
        </w:rPr>
        <w:t>The cost recovery arrangements for section</w:t>
      </w:r>
      <w:r w:rsidR="00625461">
        <w:rPr>
          <w:lang w:eastAsia="en-AU"/>
        </w:rPr>
        <w:t>s</w:t>
      </w:r>
      <w:r w:rsidRPr="0017360A">
        <w:rPr>
          <w:lang w:eastAsia="en-AU"/>
        </w:rPr>
        <w:t xml:space="preserve"> 160</w:t>
      </w:r>
      <w:r w:rsidR="00625461">
        <w:rPr>
          <w:lang w:eastAsia="en-AU"/>
        </w:rPr>
        <w:t xml:space="preserve"> </w:t>
      </w:r>
      <w:r w:rsidR="00DB2D06">
        <w:rPr>
          <w:lang w:eastAsia="en-AU"/>
        </w:rPr>
        <w:t>to</w:t>
      </w:r>
      <w:r w:rsidR="00625461">
        <w:rPr>
          <w:lang w:eastAsia="en-AU"/>
        </w:rPr>
        <w:t xml:space="preserve"> 16</w:t>
      </w:r>
      <w:r w:rsidR="00DB2D06">
        <w:rPr>
          <w:lang w:eastAsia="en-AU"/>
        </w:rPr>
        <w:t>2</w:t>
      </w:r>
      <w:r w:rsidRPr="0017360A">
        <w:rPr>
          <w:lang w:eastAsia="en-AU"/>
        </w:rPr>
        <w:t xml:space="preserve"> are as follows:</w:t>
      </w:r>
    </w:p>
    <w:p w:rsidR="00625461" w:rsidRPr="0017360A" w:rsidRDefault="00625461" w:rsidP="00625461">
      <w:pPr>
        <w:pStyle w:val="ListBullet"/>
        <w:rPr>
          <w:lang w:eastAsia="en-AU"/>
        </w:rPr>
      </w:pPr>
      <w:r w:rsidRPr="0017360A">
        <w:rPr>
          <w:lang w:eastAsia="en-AU"/>
        </w:rPr>
        <w:t>The Minister’s advice given under section 160 will not be subject to cost recovery fees.</w:t>
      </w:r>
    </w:p>
    <w:p w:rsidR="0017360A" w:rsidRPr="0017360A" w:rsidRDefault="0017360A" w:rsidP="0017360A">
      <w:pPr>
        <w:pStyle w:val="ListBullet"/>
        <w:rPr>
          <w:lang w:eastAsia="en-AU"/>
        </w:rPr>
      </w:pPr>
      <w:r w:rsidRPr="0017360A">
        <w:rPr>
          <w:lang w:eastAsia="en-AU"/>
        </w:rPr>
        <w:t>The referrals under section 161 of the EPBC Act will not be subject to the referral fee, whether or not the referral is made under section 161(1) (referral by the Commonwealth) or section 161(2) (where the Minister requests the Commonwealth to refer an action).</w:t>
      </w:r>
    </w:p>
    <w:p w:rsidR="0017360A" w:rsidRDefault="00166C33" w:rsidP="0017360A">
      <w:pPr>
        <w:pStyle w:val="ListBullet"/>
        <w:rPr>
          <w:lang w:eastAsia="en-AU"/>
        </w:rPr>
      </w:pPr>
      <w:r w:rsidRPr="00166C33">
        <w:rPr>
          <w:lang w:eastAsia="en-AU"/>
        </w:rPr>
        <w:t>If the Minister determines that Part 8 of the EPBC Act applies under section 162, that is, the action must be assessed and approved under the EPBC Act, then cost recovery assessment fees will be payable</w:t>
      </w:r>
      <w:r w:rsidR="00B75105">
        <w:rPr>
          <w:lang w:eastAsia="en-AU"/>
        </w:rPr>
        <w:t xml:space="preserve"> (see FAQ #</w:t>
      </w:r>
      <w:r w:rsidR="00DD4538">
        <w:rPr>
          <w:lang w:eastAsia="en-AU"/>
        </w:rPr>
        <w:t>6</w:t>
      </w:r>
      <w:r w:rsidR="00B75105">
        <w:rPr>
          <w:lang w:eastAsia="en-AU"/>
        </w:rPr>
        <w:t>).</w:t>
      </w:r>
    </w:p>
    <w:p w:rsidR="00AF314B" w:rsidRDefault="00AF314B" w:rsidP="00AF314B">
      <w:pPr>
        <w:pStyle w:val="ListBullet"/>
        <w:numPr>
          <w:ilvl w:val="0"/>
          <w:numId w:val="0"/>
        </w:numPr>
        <w:ind w:left="369"/>
        <w:rPr>
          <w:lang w:eastAsia="en-AU"/>
        </w:rPr>
      </w:pPr>
    </w:p>
    <w:p w:rsidR="00AF314B" w:rsidRDefault="00AF314B" w:rsidP="00AF314B">
      <w:pPr>
        <w:pStyle w:val="ListBullet"/>
        <w:numPr>
          <w:ilvl w:val="0"/>
          <w:numId w:val="0"/>
        </w:numPr>
        <w:ind w:left="369"/>
        <w:rPr>
          <w:lang w:eastAsia="en-AU"/>
        </w:rPr>
      </w:pPr>
    </w:p>
    <w:p w:rsidR="00265E96" w:rsidRDefault="000402A7"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Pr>
          <w:rFonts w:eastAsia="Times New Roman" w:cs="Arial"/>
          <w:sz w:val="29"/>
          <w:szCs w:val="29"/>
          <w:lang w:eastAsia="en-AU"/>
        </w:rPr>
        <w:lastRenderedPageBreak/>
        <w:t>What</w:t>
      </w:r>
      <w:r w:rsidRPr="00112838">
        <w:rPr>
          <w:rFonts w:eastAsia="Times New Roman" w:cs="Arial"/>
          <w:sz w:val="29"/>
          <w:szCs w:val="29"/>
          <w:lang w:eastAsia="en-AU"/>
        </w:rPr>
        <w:t xml:space="preserve"> </w:t>
      </w:r>
      <w:r w:rsidR="000A6D74" w:rsidRPr="00112838">
        <w:rPr>
          <w:rFonts w:eastAsia="Times New Roman" w:cs="Arial"/>
          <w:sz w:val="29"/>
          <w:szCs w:val="29"/>
          <w:lang w:eastAsia="en-AU"/>
        </w:rPr>
        <w:t>consulta</w:t>
      </w:r>
      <w:r w:rsidR="0087348B">
        <w:rPr>
          <w:rFonts w:eastAsia="Times New Roman" w:cs="Arial"/>
          <w:sz w:val="29"/>
          <w:szCs w:val="29"/>
          <w:lang w:eastAsia="en-AU"/>
        </w:rPr>
        <w:t>tion</w:t>
      </w:r>
      <w:r w:rsidR="000A6D74" w:rsidRPr="00112838">
        <w:rPr>
          <w:rFonts w:eastAsia="Times New Roman" w:cs="Arial"/>
          <w:sz w:val="29"/>
          <w:szCs w:val="29"/>
          <w:lang w:eastAsia="en-AU"/>
        </w:rPr>
        <w:t xml:space="preserve"> </w:t>
      </w:r>
      <w:r>
        <w:rPr>
          <w:rFonts w:eastAsia="Times New Roman" w:cs="Arial"/>
          <w:sz w:val="29"/>
          <w:szCs w:val="29"/>
          <w:lang w:eastAsia="en-AU"/>
        </w:rPr>
        <w:t>was</w:t>
      </w:r>
      <w:r w:rsidRPr="00112838">
        <w:rPr>
          <w:rFonts w:eastAsia="Times New Roman" w:cs="Arial"/>
          <w:sz w:val="29"/>
          <w:szCs w:val="29"/>
          <w:lang w:eastAsia="en-AU"/>
        </w:rPr>
        <w:t xml:space="preserve"> </w:t>
      </w:r>
      <w:r w:rsidR="000A6D74" w:rsidRPr="00112838">
        <w:rPr>
          <w:rFonts w:eastAsia="Times New Roman" w:cs="Arial"/>
          <w:sz w:val="29"/>
          <w:szCs w:val="29"/>
          <w:lang w:eastAsia="en-AU"/>
        </w:rPr>
        <w:t>undertaken?</w:t>
      </w:r>
      <w:r w:rsidR="00265E96" w:rsidRPr="00265E96">
        <w:rPr>
          <w:rFonts w:eastAsia="Times New Roman" w:cs="Arial"/>
          <w:sz w:val="29"/>
          <w:szCs w:val="29"/>
          <w:lang w:eastAsia="en-AU"/>
        </w:rPr>
        <w:t xml:space="preserve"> </w:t>
      </w:r>
    </w:p>
    <w:p w:rsidR="00C24D46" w:rsidRPr="00112838" w:rsidRDefault="00B47B09" w:rsidP="00112838">
      <w:pPr>
        <w:rPr>
          <w:sz w:val="29"/>
          <w:szCs w:val="29"/>
          <w:lang w:eastAsia="en-AU"/>
        </w:rPr>
      </w:pPr>
      <w:r>
        <w:rPr>
          <w:lang w:eastAsia="en-AU"/>
        </w:rPr>
        <w:t>During</w:t>
      </w:r>
      <w:r w:rsidR="008A28A7" w:rsidRPr="00112838">
        <w:rPr>
          <w:lang w:eastAsia="en-AU"/>
        </w:rPr>
        <w:t xml:space="preserve"> 2011-12 the Department consulted widely with a range of affected </w:t>
      </w:r>
      <w:r w:rsidR="003F0F56">
        <w:rPr>
          <w:lang w:eastAsia="en-AU"/>
        </w:rPr>
        <w:t>interest</w:t>
      </w:r>
      <w:r w:rsidR="006010AD">
        <w:rPr>
          <w:lang w:eastAsia="en-AU"/>
        </w:rPr>
        <w:t>ed</w:t>
      </w:r>
      <w:r w:rsidR="003F0F56">
        <w:rPr>
          <w:lang w:eastAsia="en-AU"/>
        </w:rPr>
        <w:t xml:space="preserve"> parties</w:t>
      </w:r>
      <w:r w:rsidR="008A28A7" w:rsidRPr="00112838">
        <w:rPr>
          <w:lang w:eastAsia="en-AU"/>
        </w:rPr>
        <w:t>.</w:t>
      </w:r>
    </w:p>
    <w:p w:rsidR="00C24D46" w:rsidRPr="00112838" w:rsidRDefault="000A6D74" w:rsidP="00112838">
      <w:pPr>
        <w:pStyle w:val="ListBullet"/>
        <w:rPr>
          <w:lang w:eastAsia="en-AU"/>
        </w:rPr>
      </w:pPr>
      <w:r w:rsidRPr="00112838">
        <w:rPr>
          <w:lang w:eastAsia="en-AU"/>
        </w:rPr>
        <w:t xml:space="preserve">In September 2011 a consultation paper </w:t>
      </w:r>
      <w:r w:rsidR="0087348B">
        <w:rPr>
          <w:lang w:eastAsia="en-AU"/>
        </w:rPr>
        <w:t xml:space="preserve">was published </w:t>
      </w:r>
      <w:r w:rsidRPr="00112838">
        <w:rPr>
          <w:lang w:eastAsia="en-AU"/>
        </w:rPr>
        <w:t xml:space="preserve">on proposed cost recovery measures under the EPBC Act. </w:t>
      </w:r>
    </w:p>
    <w:p w:rsidR="00C24D46" w:rsidRPr="00112838" w:rsidRDefault="000A6D74" w:rsidP="00112838">
      <w:pPr>
        <w:pStyle w:val="ListBullet"/>
        <w:rPr>
          <w:lang w:eastAsia="en-AU"/>
        </w:rPr>
      </w:pPr>
      <w:r w:rsidRPr="00112838">
        <w:rPr>
          <w:lang w:eastAsia="en-AU"/>
        </w:rPr>
        <w:t>Written comment was sought from peak industry bodies, relevant non-government organisations</w:t>
      </w:r>
      <w:r w:rsidR="00A41D52">
        <w:rPr>
          <w:lang w:eastAsia="en-AU"/>
        </w:rPr>
        <w:t>,</w:t>
      </w:r>
      <w:r w:rsidRPr="00112838">
        <w:rPr>
          <w:lang w:eastAsia="en-AU"/>
        </w:rPr>
        <w:t xml:space="preserve"> and relevant state and territory departments and agencies.</w:t>
      </w:r>
    </w:p>
    <w:p w:rsidR="00C24D46" w:rsidRPr="00112838" w:rsidRDefault="00FD15BE" w:rsidP="00112838">
      <w:pPr>
        <w:pStyle w:val="ListBullet"/>
        <w:rPr>
          <w:lang w:eastAsia="en-AU"/>
        </w:rPr>
      </w:pPr>
      <w:r>
        <w:rPr>
          <w:lang w:eastAsia="en-AU"/>
        </w:rPr>
        <w:t>A</w:t>
      </w:r>
      <w:r w:rsidR="000A6D74" w:rsidRPr="00112838">
        <w:rPr>
          <w:lang w:eastAsia="en-AU"/>
        </w:rPr>
        <w:t xml:space="preserve"> draft </w:t>
      </w:r>
      <w:r w:rsidR="00846EC1" w:rsidRPr="00112838">
        <w:rPr>
          <w:lang w:eastAsia="en-AU"/>
        </w:rPr>
        <w:t xml:space="preserve">Cost Recovery </w:t>
      </w:r>
      <w:r w:rsidR="00FB128B" w:rsidRPr="00112838">
        <w:rPr>
          <w:lang w:eastAsia="en-AU"/>
        </w:rPr>
        <w:t>Imp</w:t>
      </w:r>
      <w:r w:rsidR="00FB128B">
        <w:rPr>
          <w:lang w:eastAsia="en-AU"/>
        </w:rPr>
        <w:t>act</w:t>
      </w:r>
      <w:r w:rsidR="00FB128B" w:rsidRPr="00112838">
        <w:rPr>
          <w:lang w:eastAsia="en-AU"/>
        </w:rPr>
        <w:t xml:space="preserve"> </w:t>
      </w:r>
      <w:r w:rsidR="00846EC1" w:rsidRPr="00112838">
        <w:rPr>
          <w:lang w:eastAsia="en-AU"/>
        </w:rPr>
        <w:t>Statement</w:t>
      </w:r>
      <w:r w:rsidR="000A6D74" w:rsidRPr="00112838">
        <w:rPr>
          <w:lang w:eastAsia="en-AU"/>
        </w:rPr>
        <w:t xml:space="preserve"> was published in May 2012 with a six week </w:t>
      </w:r>
      <w:r w:rsidR="0087348B">
        <w:rPr>
          <w:lang w:eastAsia="en-AU"/>
        </w:rPr>
        <w:t xml:space="preserve">public </w:t>
      </w:r>
      <w:r w:rsidR="000A6D74" w:rsidRPr="00112838">
        <w:rPr>
          <w:lang w:eastAsia="en-AU"/>
        </w:rPr>
        <w:t>consultation period.</w:t>
      </w:r>
    </w:p>
    <w:p w:rsidR="00C24D46" w:rsidRPr="00112838" w:rsidRDefault="000A6D74" w:rsidP="00112838">
      <w:pPr>
        <w:pStyle w:val="ListBullet"/>
        <w:rPr>
          <w:lang w:eastAsia="en-AU"/>
        </w:rPr>
      </w:pPr>
      <w:r w:rsidRPr="00112838">
        <w:rPr>
          <w:lang w:eastAsia="en-AU"/>
        </w:rPr>
        <w:t>Written comment was sought from repeat referrers under the EPBC Act, peak industry bodies, relevant non-government organisations</w:t>
      </w:r>
      <w:r w:rsidR="00A41D52">
        <w:rPr>
          <w:lang w:eastAsia="en-AU"/>
        </w:rPr>
        <w:t>,</w:t>
      </w:r>
      <w:r w:rsidRPr="00112838">
        <w:rPr>
          <w:lang w:eastAsia="en-AU"/>
        </w:rPr>
        <w:t xml:space="preserve"> and relevant state and territory departments and agencies.</w:t>
      </w:r>
    </w:p>
    <w:p w:rsidR="007F1CA7" w:rsidRDefault="000A6D74" w:rsidP="00AA143D">
      <w:pPr>
        <w:pStyle w:val="ListBullet"/>
        <w:rPr>
          <w:lang w:eastAsia="en-AU"/>
        </w:rPr>
      </w:pPr>
      <w:r w:rsidRPr="00112838">
        <w:rPr>
          <w:lang w:eastAsia="en-AU"/>
        </w:rPr>
        <w:t xml:space="preserve">A stakeholder workshop was hosted by the </w:t>
      </w:r>
      <w:r w:rsidR="00C27FE2">
        <w:rPr>
          <w:lang w:eastAsia="en-AU"/>
        </w:rPr>
        <w:t>D</w:t>
      </w:r>
      <w:r w:rsidRPr="00112838">
        <w:rPr>
          <w:lang w:eastAsia="en-AU"/>
        </w:rPr>
        <w:t>epartment in June 2012.</w:t>
      </w:r>
    </w:p>
    <w:p w:rsidR="0018713D" w:rsidRDefault="007F1CA7" w:rsidP="00E14757">
      <w:pPr>
        <w:pStyle w:val="ListBullet"/>
        <w:numPr>
          <w:ilvl w:val="0"/>
          <w:numId w:val="0"/>
        </w:numPr>
        <w:rPr>
          <w:lang w:eastAsia="en-AU"/>
        </w:rPr>
      </w:pPr>
      <w:r>
        <w:rPr>
          <w:lang w:eastAsia="en-AU"/>
        </w:rPr>
        <w:t>The D</w:t>
      </w:r>
      <w:r w:rsidRPr="005B6CDD">
        <w:rPr>
          <w:lang w:eastAsia="en-AU"/>
        </w:rPr>
        <w:t xml:space="preserve">epartment gave thorough consideration to the range of verbal and written stakeholder feedback received during the consultation period. As a result of this feedback, </w:t>
      </w:r>
      <w:r w:rsidR="00425C51">
        <w:rPr>
          <w:lang w:eastAsia="en-AU"/>
        </w:rPr>
        <w:t>amendments to increase transparency and certainty for stakeholders</w:t>
      </w:r>
      <w:r w:rsidRPr="005B6CDD">
        <w:rPr>
          <w:lang w:eastAsia="en-AU"/>
        </w:rPr>
        <w:t xml:space="preserve"> were made to the cost r</w:t>
      </w:r>
      <w:r>
        <w:t>ecovery model</w:t>
      </w:r>
      <w:r>
        <w:rPr>
          <w:lang w:eastAsia="en-AU"/>
        </w:rPr>
        <w:t>, including:</w:t>
      </w:r>
    </w:p>
    <w:p w:rsidR="0018713D" w:rsidRDefault="007F1CA7" w:rsidP="0062119C">
      <w:pPr>
        <w:numPr>
          <w:ilvl w:val="1"/>
          <w:numId w:val="7"/>
        </w:numPr>
        <w:autoSpaceDE w:val="0"/>
        <w:autoSpaceDN w:val="0"/>
        <w:adjustRightInd w:val="0"/>
        <w:spacing w:before="240" w:after="0" w:line="240" w:lineRule="auto"/>
        <w:ind w:left="851" w:hanging="425"/>
        <w:jc w:val="both"/>
        <w:rPr>
          <w:lang w:eastAsia="en-AU"/>
        </w:rPr>
      </w:pPr>
      <w:r>
        <w:rPr>
          <w:lang w:eastAsia="en-AU"/>
        </w:rPr>
        <w:t>detail on contingen</w:t>
      </w:r>
      <w:r w:rsidR="0087348B">
        <w:rPr>
          <w:lang w:eastAsia="en-AU"/>
        </w:rPr>
        <w:t>cy</w:t>
      </w:r>
      <w:r>
        <w:rPr>
          <w:lang w:eastAsia="en-AU"/>
        </w:rPr>
        <w:t xml:space="preserve"> fees</w:t>
      </w:r>
      <w:r w:rsidR="0062119C">
        <w:rPr>
          <w:lang w:eastAsia="en-AU"/>
        </w:rPr>
        <w:t>;</w:t>
      </w:r>
    </w:p>
    <w:p w:rsidR="0018713D" w:rsidRDefault="007F1CA7" w:rsidP="0062119C">
      <w:pPr>
        <w:numPr>
          <w:ilvl w:val="1"/>
          <w:numId w:val="7"/>
        </w:numPr>
        <w:autoSpaceDE w:val="0"/>
        <w:autoSpaceDN w:val="0"/>
        <w:adjustRightInd w:val="0"/>
        <w:spacing w:before="240" w:after="0" w:line="240" w:lineRule="auto"/>
        <w:ind w:left="851" w:hanging="425"/>
        <w:jc w:val="both"/>
        <w:rPr>
          <w:lang w:eastAsia="en-AU"/>
        </w:rPr>
      </w:pPr>
      <w:r>
        <w:rPr>
          <w:lang w:eastAsia="en-AU"/>
        </w:rPr>
        <w:t>a</w:t>
      </w:r>
      <w:r w:rsidRPr="00ED7F62">
        <w:rPr>
          <w:lang w:eastAsia="en-AU"/>
        </w:rPr>
        <w:t xml:space="preserve"> commitment to </w:t>
      </w:r>
      <w:r w:rsidRPr="003C12F7">
        <w:rPr>
          <w:lang w:eastAsia="en-AU"/>
        </w:rPr>
        <w:t>the</w:t>
      </w:r>
      <w:r>
        <w:rPr>
          <w:lang w:eastAsia="en-AU"/>
        </w:rPr>
        <w:t xml:space="preserve"> </w:t>
      </w:r>
      <w:r w:rsidRPr="00ED7F62">
        <w:rPr>
          <w:lang w:eastAsia="en-AU"/>
        </w:rPr>
        <w:t>development of guidance material on strategic assessments</w:t>
      </w:r>
      <w:r w:rsidR="0062119C">
        <w:rPr>
          <w:lang w:eastAsia="en-AU"/>
        </w:rPr>
        <w:t>;</w:t>
      </w:r>
    </w:p>
    <w:p w:rsidR="0018713D" w:rsidRDefault="007F1CA7" w:rsidP="0062119C">
      <w:pPr>
        <w:numPr>
          <w:ilvl w:val="1"/>
          <w:numId w:val="7"/>
        </w:numPr>
        <w:autoSpaceDE w:val="0"/>
        <w:autoSpaceDN w:val="0"/>
        <w:adjustRightInd w:val="0"/>
        <w:spacing w:before="240" w:after="0" w:line="240" w:lineRule="auto"/>
        <w:ind w:left="851" w:hanging="425"/>
        <w:jc w:val="both"/>
        <w:rPr>
          <w:lang w:eastAsia="en-AU"/>
        </w:rPr>
      </w:pPr>
      <w:r>
        <w:rPr>
          <w:lang w:eastAsia="en-AU"/>
        </w:rPr>
        <w:t>c</w:t>
      </w:r>
      <w:r w:rsidRPr="008B56FB">
        <w:rPr>
          <w:lang w:eastAsia="en-AU"/>
        </w:rPr>
        <w:t>larification on the staging of fees and timing of payments</w:t>
      </w:r>
      <w:r w:rsidR="0062119C">
        <w:rPr>
          <w:lang w:eastAsia="en-AU"/>
        </w:rPr>
        <w:t>;</w:t>
      </w:r>
    </w:p>
    <w:p w:rsidR="0018713D" w:rsidRDefault="007F1CA7" w:rsidP="0062119C">
      <w:pPr>
        <w:numPr>
          <w:ilvl w:val="1"/>
          <w:numId w:val="7"/>
        </w:numPr>
        <w:autoSpaceDE w:val="0"/>
        <w:autoSpaceDN w:val="0"/>
        <w:adjustRightInd w:val="0"/>
        <w:spacing w:before="240" w:after="0" w:line="240" w:lineRule="auto"/>
        <w:ind w:left="851" w:hanging="425"/>
        <w:jc w:val="both"/>
        <w:rPr>
          <w:lang w:eastAsia="en-AU"/>
        </w:rPr>
      </w:pPr>
      <w:r w:rsidRPr="00034C6F">
        <w:rPr>
          <w:lang w:eastAsia="en-AU"/>
        </w:rPr>
        <w:t>clarification on the charging structure of the complexity matrix</w:t>
      </w:r>
      <w:r w:rsidR="0062119C">
        <w:rPr>
          <w:lang w:eastAsia="en-AU"/>
        </w:rPr>
        <w:t>; and</w:t>
      </w:r>
    </w:p>
    <w:p w:rsidR="0018713D" w:rsidRDefault="007F1CA7" w:rsidP="0062119C">
      <w:pPr>
        <w:numPr>
          <w:ilvl w:val="1"/>
          <w:numId w:val="7"/>
        </w:numPr>
        <w:autoSpaceDE w:val="0"/>
        <w:autoSpaceDN w:val="0"/>
        <w:adjustRightInd w:val="0"/>
        <w:spacing w:before="240" w:after="0" w:line="240" w:lineRule="auto"/>
        <w:ind w:left="851" w:hanging="425"/>
        <w:jc w:val="both"/>
        <w:rPr>
          <w:lang w:eastAsia="en-AU"/>
        </w:rPr>
      </w:pPr>
      <w:r>
        <w:rPr>
          <w:lang w:eastAsia="en-AU"/>
        </w:rPr>
        <w:t>c</w:t>
      </w:r>
      <w:r w:rsidRPr="008B56FB">
        <w:rPr>
          <w:lang w:eastAsia="en-AU"/>
        </w:rPr>
        <w:t>larification of intra/inter governmental charging arrangements</w:t>
      </w:r>
      <w:r>
        <w:rPr>
          <w:lang w:eastAsia="en-AU"/>
        </w:rPr>
        <w:t>.</w:t>
      </w:r>
    </w:p>
    <w:p w:rsidR="007E15B6" w:rsidRDefault="007E15B6">
      <w:pPr>
        <w:autoSpaceDE w:val="0"/>
        <w:autoSpaceDN w:val="0"/>
        <w:adjustRightInd w:val="0"/>
        <w:spacing w:before="240" w:after="0" w:line="240" w:lineRule="auto"/>
        <w:ind w:left="1070"/>
        <w:jc w:val="both"/>
        <w:rPr>
          <w:lang w:eastAsia="en-AU"/>
        </w:rPr>
      </w:pPr>
    </w:p>
    <w:p w:rsidR="00AF0D62" w:rsidRDefault="000A6D74">
      <w:pPr>
        <w:rPr>
          <w:rFonts w:eastAsia="Times New Roman" w:cs="Arial"/>
          <w:sz w:val="29"/>
          <w:szCs w:val="29"/>
          <w:lang w:eastAsia="en-AU"/>
        </w:rPr>
      </w:pPr>
      <w:r w:rsidRPr="00917F79">
        <w:rPr>
          <w:lang w:eastAsia="en-AU"/>
        </w:rPr>
        <w:t xml:space="preserve">A number of </w:t>
      </w:r>
      <w:r w:rsidR="003F0F56" w:rsidRPr="00917F79">
        <w:rPr>
          <w:lang w:eastAsia="en-AU"/>
        </w:rPr>
        <w:t>interested parties</w:t>
      </w:r>
      <w:r w:rsidRPr="00917F79">
        <w:rPr>
          <w:lang w:eastAsia="en-AU"/>
        </w:rPr>
        <w:t xml:space="preserve"> sought a commitment to improved service and efficiency following the </w:t>
      </w:r>
      <w:r w:rsidR="0021033F" w:rsidRPr="00917F79">
        <w:rPr>
          <w:lang w:eastAsia="en-AU"/>
        </w:rPr>
        <w:t>introduction of cost recovery. A high priority for t</w:t>
      </w:r>
      <w:r w:rsidRPr="00917F79">
        <w:rPr>
          <w:lang w:eastAsia="en-AU"/>
        </w:rPr>
        <w:t xml:space="preserve">he </w:t>
      </w:r>
      <w:r w:rsidR="00C27FE2" w:rsidRPr="00917F79">
        <w:rPr>
          <w:lang w:eastAsia="en-AU"/>
        </w:rPr>
        <w:t>D</w:t>
      </w:r>
      <w:r w:rsidR="0021033F" w:rsidRPr="00917F79">
        <w:rPr>
          <w:lang w:eastAsia="en-AU"/>
        </w:rPr>
        <w:t>epartment is</w:t>
      </w:r>
      <w:r w:rsidRPr="00917F79">
        <w:rPr>
          <w:lang w:eastAsia="en-AU"/>
        </w:rPr>
        <w:t xml:space="preserve"> improv</w:t>
      </w:r>
      <w:r w:rsidR="0081388E" w:rsidRPr="00917F79">
        <w:rPr>
          <w:lang w:eastAsia="en-AU"/>
        </w:rPr>
        <w:t xml:space="preserve">ing services to meet </w:t>
      </w:r>
      <w:r w:rsidRPr="00917F79">
        <w:rPr>
          <w:lang w:eastAsia="en-AU"/>
        </w:rPr>
        <w:t xml:space="preserve">statutory timeframes. A </w:t>
      </w:r>
      <w:hyperlink r:id="rId20" w:history="1">
        <w:r w:rsidR="0017360A" w:rsidRPr="00917F79">
          <w:rPr>
            <w:rStyle w:val="Hyperlink"/>
            <w:i/>
            <w:sz w:val="22"/>
            <w:szCs w:val="22"/>
            <w:bdr w:val="none" w:sz="0" w:space="0" w:color="auto"/>
            <w:lang w:eastAsia="en-AU"/>
          </w:rPr>
          <w:t>Client Service Charter</w:t>
        </w:r>
      </w:hyperlink>
      <w:r w:rsidRPr="00917F79">
        <w:rPr>
          <w:lang w:eastAsia="en-AU"/>
        </w:rPr>
        <w:t xml:space="preserve"> has</w:t>
      </w:r>
      <w:r w:rsidRPr="00112838">
        <w:rPr>
          <w:lang w:eastAsia="en-AU"/>
        </w:rPr>
        <w:t xml:space="preserve"> been developed</w:t>
      </w:r>
      <w:r w:rsidR="003F0F56">
        <w:rPr>
          <w:lang w:eastAsia="en-AU"/>
        </w:rPr>
        <w:t>.</w:t>
      </w:r>
    </w:p>
    <w:p w:rsidR="00265E96" w:rsidRDefault="006618D0" w:rsidP="00265E96">
      <w:pPr>
        <w:pStyle w:val="ListParagraph"/>
        <w:numPr>
          <w:ilvl w:val="0"/>
          <w:numId w:val="16"/>
        </w:numPr>
        <w:spacing w:before="264" w:after="108" w:line="360" w:lineRule="atLeast"/>
        <w:textAlignment w:val="baseline"/>
        <w:outlineLvl w:val="1"/>
        <w:rPr>
          <w:rFonts w:eastAsia="Times New Roman" w:cs="Arial"/>
          <w:sz w:val="29"/>
          <w:szCs w:val="29"/>
          <w:lang w:eastAsia="en-AU"/>
        </w:rPr>
      </w:pPr>
      <w:r w:rsidRPr="00112838">
        <w:rPr>
          <w:rFonts w:eastAsia="Times New Roman" w:cs="Arial"/>
          <w:sz w:val="29"/>
          <w:szCs w:val="29"/>
          <w:lang w:eastAsia="en-AU"/>
        </w:rPr>
        <w:t xml:space="preserve">What if I have </w:t>
      </w:r>
      <w:r w:rsidR="008F223C">
        <w:rPr>
          <w:rFonts w:eastAsia="Times New Roman" w:cs="Arial"/>
          <w:sz w:val="29"/>
          <w:szCs w:val="29"/>
          <w:lang w:eastAsia="en-AU"/>
        </w:rPr>
        <w:t>further</w:t>
      </w:r>
      <w:r w:rsidRPr="00112838">
        <w:rPr>
          <w:rFonts w:eastAsia="Times New Roman" w:cs="Arial"/>
          <w:sz w:val="29"/>
          <w:szCs w:val="29"/>
          <w:lang w:eastAsia="en-AU"/>
        </w:rPr>
        <w:t xml:space="preserve"> questions on cost recovery?</w:t>
      </w:r>
    </w:p>
    <w:p w:rsidR="004F3494" w:rsidRDefault="002E1899">
      <w:r w:rsidRPr="00917F79">
        <w:t>If you have any additional questions, please call the Department's Community Information Unit on 1800 803 772 or email your query to</w:t>
      </w:r>
      <w:r w:rsidR="007F7625" w:rsidRPr="00917F79">
        <w:t xml:space="preserve"> </w:t>
      </w:r>
      <w:hyperlink r:id="rId21" w:history="1">
        <w:r w:rsidR="00BD2EA6" w:rsidRPr="00794A62">
          <w:rPr>
            <w:rStyle w:val="Hyperlink"/>
            <w:rFonts w:eastAsia="Times New Roman" w:cs="Arial"/>
            <w:sz w:val="22"/>
            <w:szCs w:val="22"/>
            <w:bdr w:val="none" w:sz="0" w:space="0" w:color="auto"/>
            <w:lang w:eastAsia="en-AU"/>
          </w:rPr>
          <w:t>environment.protection@environment.gov.au</w:t>
        </w:r>
      </w:hyperlink>
      <w:r w:rsidR="00667092" w:rsidRPr="00917F79">
        <w:t>.</w:t>
      </w:r>
      <w:r w:rsidR="00667092">
        <w:t xml:space="preserve"> </w:t>
      </w:r>
    </w:p>
    <w:sectPr w:rsidR="004F3494" w:rsidSect="005073C2">
      <w:headerReference w:type="even" r:id="rId22"/>
      <w:headerReference w:type="default" r:id="rId23"/>
      <w:footerReference w:type="even" r:id="rId24"/>
      <w:footerReference w:type="default" r:id="rId25"/>
      <w:headerReference w:type="first" r:id="rId26"/>
      <w:footerReference w:type="first" r:id="rId27"/>
      <w:pgSz w:w="11906" w:h="16838"/>
      <w:pgMar w:top="1099"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38" w:rsidRDefault="00DD4538" w:rsidP="00A60185">
      <w:pPr>
        <w:spacing w:after="0" w:line="240" w:lineRule="auto"/>
      </w:pPr>
      <w:r>
        <w:separator/>
      </w:r>
    </w:p>
  </w:endnote>
  <w:endnote w:type="continuationSeparator" w:id="0">
    <w:p w:rsidR="00DD4538" w:rsidRDefault="00DD4538"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5B" w:rsidRDefault="00974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rsidR="00DD4538" w:rsidRDefault="00974E5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5B" w:rsidRDefault="00974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38" w:rsidRDefault="00DD4538" w:rsidP="00A60185">
      <w:pPr>
        <w:spacing w:after="0" w:line="240" w:lineRule="auto"/>
      </w:pPr>
      <w:r>
        <w:separator/>
      </w:r>
    </w:p>
  </w:footnote>
  <w:footnote w:type="continuationSeparator" w:id="0">
    <w:p w:rsidR="00DD4538" w:rsidRDefault="00DD4538"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8" w:rsidRDefault="00AF314B" w:rsidP="00E45765">
    <w:pPr>
      <w:pStyle w:val="Classification"/>
    </w:pPr>
    <w:r>
      <w:fldChar w:fldCharType="begin"/>
    </w:r>
    <w:r w:rsidR="00DD4538">
      <w:instrText xml:space="preserve"> DOCPROPERTY SecurityClassification \* MERGEFORMAT </w:instrText>
    </w:r>
    <w:r>
      <w:fldChar w:fldCharType="separate"/>
    </w:r>
    <w:r w:rsidR="00DD4538">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5B" w:rsidRDefault="00974E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8" w:rsidRDefault="00DD4538">
    <w:pPr>
      <w:pStyle w:val="Classification"/>
      <w:tabs>
        <w:tab w:val="clear" w:pos="4536"/>
        <w:tab w:val="clear" w:pos="4819"/>
        <w:tab w:val="clear" w:pos="9356"/>
        <w:tab w:val="left" w:pos="1545"/>
      </w:tabs>
      <w:jc w:val="left"/>
    </w:pPr>
    <w:r>
      <w:rPr>
        <w:noProof/>
      </w:rPr>
      <w:drawing>
        <wp:anchor distT="0" distB="0" distL="114300" distR="114300" simplePos="0" relativeHeight="251660288" behindDoc="0" locked="0" layoutInCell="1" allowOverlap="1">
          <wp:simplePos x="0" y="0"/>
          <wp:positionH relativeFrom="page">
            <wp:posOffset>575945</wp:posOffset>
          </wp:positionH>
          <wp:positionV relativeFrom="page">
            <wp:posOffset>431800</wp:posOffset>
          </wp:positionV>
          <wp:extent cx="2876550" cy="619125"/>
          <wp:effectExtent l="19050" t="0" r="0" b="0"/>
          <wp:wrapNone/>
          <wp:docPr id="12" name="Picture 0" descr="Description: Department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_Env_logo_white.png"/>
                  <pic:cNvPicPr/>
                </pic:nvPicPr>
                <pic:blipFill>
                  <a:blip r:embed="rId1"/>
                  <a:stretch>
                    <a:fillRect/>
                  </a:stretch>
                </pic:blipFill>
                <pic:spPr>
                  <a:xfrm>
                    <a:off x="0" y="0"/>
                    <a:ext cx="2876550" cy="619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B807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AB2123A"/>
    <w:multiLevelType w:val="hybridMultilevel"/>
    <w:tmpl w:val="B61857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7B1133"/>
    <w:multiLevelType w:val="hybridMultilevel"/>
    <w:tmpl w:val="E4FACC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F745BC2"/>
    <w:multiLevelType w:val="multilevel"/>
    <w:tmpl w:val="E5E89F92"/>
    <w:numStyleLink w:val="BulletList"/>
  </w:abstractNum>
  <w:abstractNum w:abstractNumId="5" w15:restartNumberingAfterBreak="0">
    <w:nsid w:val="305E4D1F"/>
    <w:multiLevelType w:val="multilevel"/>
    <w:tmpl w:val="D2943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456429"/>
    <w:multiLevelType w:val="multilevel"/>
    <w:tmpl w:val="E898CC72"/>
    <w:numStyleLink w:val="KeyPoints"/>
  </w:abstractNum>
  <w:abstractNum w:abstractNumId="9" w15:restartNumberingAfterBreak="0">
    <w:nsid w:val="67322473"/>
    <w:multiLevelType w:val="hybridMultilevel"/>
    <w:tmpl w:val="26388FBC"/>
    <w:lvl w:ilvl="0" w:tplc="B1D4979C">
      <w:start w:val="1"/>
      <w:numFmt w:val="bullet"/>
      <w:lvlText w:val=""/>
      <w:lvlJc w:val="left"/>
      <w:pPr>
        <w:ind w:left="720" w:hanging="360"/>
      </w:pPr>
      <w:rPr>
        <w:rFonts w:ascii="Symbol" w:hAnsi="Symbol" w:hint="default"/>
      </w:rPr>
    </w:lvl>
    <w:lvl w:ilvl="1" w:tplc="E856E33E">
      <w:start w:val="1"/>
      <w:numFmt w:val="bullet"/>
      <w:lvlText w:val="o"/>
      <w:lvlJc w:val="left"/>
      <w:pPr>
        <w:ind w:left="1440" w:hanging="360"/>
      </w:pPr>
      <w:rPr>
        <w:rFonts w:ascii="Courier New" w:hAnsi="Courier New" w:cs="Courier New" w:hint="default"/>
      </w:rPr>
    </w:lvl>
    <w:lvl w:ilvl="2" w:tplc="6004E0B2" w:tentative="1">
      <w:start w:val="1"/>
      <w:numFmt w:val="bullet"/>
      <w:lvlText w:val=""/>
      <w:lvlJc w:val="left"/>
      <w:pPr>
        <w:ind w:left="2160" w:hanging="360"/>
      </w:pPr>
      <w:rPr>
        <w:rFonts w:ascii="Wingdings" w:hAnsi="Wingdings" w:hint="default"/>
      </w:rPr>
    </w:lvl>
    <w:lvl w:ilvl="3" w:tplc="C9A446FC" w:tentative="1">
      <w:start w:val="1"/>
      <w:numFmt w:val="bullet"/>
      <w:lvlText w:val=""/>
      <w:lvlJc w:val="left"/>
      <w:pPr>
        <w:ind w:left="2880" w:hanging="360"/>
      </w:pPr>
      <w:rPr>
        <w:rFonts w:ascii="Symbol" w:hAnsi="Symbol" w:hint="default"/>
      </w:rPr>
    </w:lvl>
    <w:lvl w:ilvl="4" w:tplc="8A1602EE" w:tentative="1">
      <w:start w:val="1"/>
      <w:numFmt w:val="bullet"/>
      <w:lvlText w:val="o"/>
      <w:lvlJc w:val="left"/>
      <w:pPr>
        <w:ind w:left="3600" w:hanging="360"/>
      </w:pPr>
      <w:rPr>
        <w:rFonts w:ascii="Courier New" w:hAnsi="Courier New" w:cs="Courier New" w:hint="default"/>
      </w:rPr>
    </w:lvl>
    <w:lvl w:ilvl="5" w:tplc="E0EAEDEA" w:tentative="1">
      <w:start w:val="1"/>
      <w:numFmt w:val="bullet"/>
      <w:lvlText w:val=""/>
      <w:lvlJc w:val="left"/>
      <w:pPr>
        <w:ind w:left="4320" w:hanging="360"/>
      </w:pPr>
      <w:rPr>
        <w:rFonts w:ascii="Wingdings" w:hAnsi="Wingdings" w:hint="default"/>
      </w:rPr>
    </w:lvl>
    <w:lvl w:ilvl="6" w:tplc="EABE183C" w:tentative="1">
      <w:start w:val="1"/>
      <w:numFmt w:val="bullet"/>
      <w:lvlText w:val=""/>
      <w:lvlJc w:val="left"/>
      <w:pPr>
        <w:ind w:left="5040" w:hanging="360"/>
      </w:pPr>
      <w:rPr>
        <w:rFonts w:ascii="Symbol" w:hAnsi="Symbol" w:hint="default"/>
      </w:rPr>
    </w:lvl>
    <w:lvl w:ilvl="7" w:tplc="FF96D89E" w:tentative="1">
      <w:start w:val="1"/>
      <w:numFmt w:val="bullet"/>
      <w:lvlText w:val="o"/>
      <w:lvlJc w:val="left"/>
      <w:pPr>
        <w:ind w:left="5760" w:hanging="360"/>
      </w:pPr>
      <w:rPr>
        <w:rFonts w:ascii="Courier New" w:hAnsi="Courier New" w:cs="Courier New" w:hint="default"/>
      </w:rPr>
    </w:lvl>
    <w:lvl w:ilvl="8" w:tplc="9DA41DB0" w:tentative="1">
      <w:start w:val="1"/>
      <w:numFmt w:val="bullet"/>
      <w:lvlText w:val=""/>
      <w:lvlJc w:val="left"/>
      <w:pPr>
        <w:ind w:left="6480" w:hanging="360"/>
      </w:pPr>
      <w:rPr>
        <w:rFonts w:ascii="Wingdings" w:hAnsi="Wingdings" w:hint="default"/>
      </w:rPr>
    </w:lvl>
  </w:abstractNum>
  <w:abstractNum w:abstractNumId="10" w15:restartNumberingAfterBreak="0">
    <w:nsid w:val="726F5F85"/>
    <w:multiLevelType w:val="hybridMultilevel"/>
    <w:tmpl w:val="8FCACAD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782D2E45"/>
    <w:multiLevelType w:val="hybridMultilevel"/>
    <w:tmpl w:val="910626EC"/>
    <w:lvl w:ilvl="0" w:tplc="8BBC2CE2">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6"/>
  </w:num>
  <w:num w:numId="5">
    <w:abstractNumId w:val="8"/>
  </w:num>
  <w:num w:numId="6">
    <w:abstractNumId w:val="4"/>
  </w:num>
  <w:num w:numId="7">
    <w:abstractNumId w:val="12"/>
  </w:num>
  <w:num w:numId="8">
    <w:abstractNumId w:val="4"/>
  </w:num>
  <w:num w:numId="9">
    <w:abstractNumId w:val="5"/>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3"/>
  </w:num>
  <w:num w:numId="16">
    <w:abstractNumId w:val="2"/>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0"/>
  </w:num>
  <w:num w:numId="27">
    <w:abstractNumId w:val="4"/>
  </w:num>
  <w:num w:numId="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docVars>
    <w:docVar w:name="SecurityClassificationInHeader" w:val="False"/>
  </w:docVars>
  <w:rsids>
    <w:rsidRoot w:val="00946BBE"/>
    <w:rsid w:val="000003DA"/>
    <w:rsid w:val="000024AB"/>
    <w:rsid w:val="0000344D"/>
    <w:rsid w:val="000040FE"/>
    <w:rsid w:val="0000481B"/>
    <w:rsid w:val="00004AEE"/>
    <w:rsid w:val="00004CFF"/>
    <w:rsid w:val="00005445"/>
    <w:rsid w:val="00005CAA"/>
    <w:rsid w:val="00007447"/>
    <w:rsid w:val="00010210"/>
    <w:rsid w:val="00012D66"/>
    <w:rsid w:val="00015ADA"/>
    <w:rsid w:val="00016F18"/>
    <w:rsid w:val="00020C99"/>
    <w:rsid w:val="000234C8"/>
    <w:rsid w:val="0002707B"/>
    <w:rsid w:val="00031AF1"/>
    <w:rsid w:val="00032F16"/>
    <w:rsid w:val="00035A6E"/>
    <w:rsid w:val="000402A7"/>
    <w:rsid w:val="000470A6"/>
    <w:rsid w:val="0005051B"/>
    <w:rsid w:val="0005148E"/>
    <w:rsid w:val="000520EE"/>
    <w:rsid w:val="00056D24"/>
    <w:rsid w:val="00060185"/>
    <w:rsid w:val="0006678D"/>
    <w:rsid w:val="00067BB3"/>
    <w:rsid w:val="00072C5A"/>
    <w:rsid w:val="000759E5"/>
    <w:rsid w:val="00080A8B"/>
    <w:rsid w:val="00082736"/>
    <w:rsid w:val="00084AC6"/>
    <w:rsid w:val="000865D3"/>
    <w:rsid w:val="000870CC"/>
    <w:rsid w:val="00090287"/>
    <w:rsid w:val="00091608"/>
    <w:rsid w:val="0009333C"/>
    <w:rsid w:val="0009704F"/>
    <w:rsid w:val="000A0F11"/>
    <w:rsid w:val="000A125A"/>
    <w:rsid w:val="000A136C"/>
    <w:rsid w:val="000A57CD"/>
    <w:rsid w:val="000A5B0C"/>
    <w:rsid w:val="000A6D74"/>
    <w:rsid w:val="000B0B92"/>
    <w:rsid w:val="000B0C35"/>
    <w:rsid w:val="000B3758"/>
    <w:rsid w:val="000B7681"/>
    <w:rsid w:val="000B7B42"/>
    <w:rsid w:val="000C02B7"/>
    <w:rsid w:val="000C3A82"/>
    <w:rsid w:val="000C4320"/>
    <w:rsid w:val="000C5100"/>
    <w:rsid w:val="000C5342"/>
    <w:rsid w:val="000C706A"/>
    <w:rsid w:val="000D2887"/>
    <w:rsid w:val="000D6D63"/>
    <w:rsid w:val="000D79A1"/>
    <w:rsid w:val="000E0081"/>
    <w:rsid w:val="000E07CF"/>
    <w:rsid w:val="000E31C1"/>
    <w:rsid w:val="000F1A6E"/>
    <w:rsid w:val="000F2CF0"/>
    <w:rsid w:val="000F2CF2"/>
    <w:rsid w:val="00100BEF"/>
    <w:rsid w:val="00103046"/>
    <w:rsid w:val="00103B23"/>
    <w:rsid w:val="00111326"/>
    <w:rsid w:val="00112838"/>
    <w:rsid w:val="0011498E"/>
    <w:rsid w:val="00117A45"/>
    <w:rsid w:val="00120548"/>
    <w:rsid w:val="001221A1"/>
    <w:rsid w:val="001224AE"/>
    <w:rsid w:val="0012584E"/>
    <w:rsid w:val="00125A0E"/>
    <w:rsid w:val="00126F60"/>
    <w:rsid w:val="001337D4"/>
    <w:rsid w:val="00134F79"/>
    <w:rsid w:val="00135DC2"/>
    <w:rsid w:val="00145889"/>
    <w:rsid w:val="00147C12"/>
    <w:rsid w:val="00152401"/>
    <w:rsid w:val="001527A1"/>
    <w:rsid w:val="00152D27"/>
    <w:rsid w:val="001530DC"/>
    <w:rsid w:val="00154989"/>
    <w:rsid w:val="00155A9F"/>
    <w:rsid w:val="00155F42"/>
    <w:rsid w:val="00157F31"/>
    <w:rsid w:val="00160262"/>
    <w:rsid w:val="00163D5E"/>
    <w:rsid w:val="0016548C"/>
    <w:rsid w:val="001665B9"/>
    <w:rsid w:val="00166C33"/>
    <w:rsid w:val="0016780A"/>
    <w:rsid w:val="001713FA"/>
    <w:rsid w:val="00173478"/>
    <w:rsid w:val="0017360A"/>
    <w:rsid w:val="001736FE"/>
    <w:rsid w:val="00173EBF"/>
    <w:rsid w:val="00175ED3"/>
    <w:rsid w:val="0017797B"/>
    <w:rsid w:val="001826AB"/>
    <w:rsid w:val="001842A2"/>
    <w:rsid w:val="0018713D"/>
    <w:rsid w:val="00187FA8"/>
    <w:rsid w:val="00192F5E"/>
    <w:rsid w:val="00197772"/>
    <w:rsid w:val="001977ED"/>
    <w:rsid w:val="001A0587"/>
    <w:rsid w:val="001A0878"/>
    <w:rsid w:val="001A3B95"/>
    <w:rsid w:val="001A51C8"/>
    <w:rsid w:val="001A61DB"/>
    <w:rsid w:val="001A7C16"/>
    <w:rsid w:val="001B35E1"/>
    <w:rsid w:val="001B3881"/>
    <w:rsid w:val="001B3CAB"/>
    <w:rsid w:val="001B4CA8"/>
    <w:rsid w:val="001B5EA1"/>
    <w:rsid w:val="001C4F3D"/>
    <w:rsid w:val="001D0CDC"/>
    <w:rsid w:val="001D1D82"/>
    <w:rsid w:val="001D2258"/>
    <w:rsid w:val="001D6F84"/>
    <w:rsid w:val="001D7551"/>
    <w:rsid w:val="001E1182"/>
    <w:rsid w:val="001F228F"/>
    <w:rsid w:val="001F462C"/>
    <w:rsid w:val="001F5267"/>
    <w:rsid w:val="00201AA5"/>
    <w:rsid w:val="00202C90"/>
    <w:rsid w:val="00203834"/>
    <w:rsid w:val="00203D30"/>
    <w:rsid w:val="00207CF1"/>
    <w:rsid w:val="0021033F"/>
    <w:rsid w:val="002116C9"/>
    <w:rsid w:val="00213DE8"/>
    <w:rsid w:val="00216118"/>
    <w:rsid w:val="002209AB"/>
    <w:rsid w:val="00223DD2"/>
    <w:rsid w:val="002251E3"/>
    <w:rsid w:val="002264CB"/>
    <w:rsid w:val="00227A95"/>
    <w:rsid w:val="00230A05"/>
    <w:rsid w:val="002316BD"/>
    <w:rsid w:val="00233DDB"/>
    <w:rsid w:val="00240214"/>
    <w:rsid w:val="002403C0"/>
    <w:rsid w:val="00241F76"/>
    <w:rsid w:val="0024265A"/>
    <w:rsid w:val="00246A8E"/>
    <w:rsid w:val="00247259"/>
    <w:rsid w:val="002473FC"/>
    <w:rsid w:val="0025053A"/>
    <w:rsid w:val="00251D08"/>
    <w:rsid w:val="00252389"/>
    <w:rsid w:val="00252E3C"/>
    <w:rsid w:val="002566ED"/>
    <w:rsid w:val="00262198"/>
    <w:rsid w:val="00263707"/>
    <w:rsid w:val="00265244"/>
    <w:rsid w:val="00265E96"/>
    <w:rsid w:val="00266510"/>
    <w:rsid w:val="00270A32"/>
    <w:rsid w:val="00270E28"/>
    <w:rsid w:val="00271AD2"/>
    <w:rsid w:val="002778AB"/>
    <w:rsid w:val="00281133"/>
    <w:rsid w:val="00285B7C"/>
    <w:rsid w:val="00285F1B"/>
    <w:rsid w:val="00286CE2"/>
    <w:rsid w:val="00292B81"/>
    <w:rsid w:val="00294C7B"/>
    <w:rsid w:val="00297643"/>
    <w:rsid w:val="00297C1C"/>
    <w:rsid w:val="002A551B"/>
    <w:rsid w:val="002B186D"/>
    <w:rsid w:val="002B18AE"/>
    <w:rsid w:val="002B381C"/>
    <w:rsid w:val="002B54D9"/>
    <w:rsid w:val="002B5D71"/>
    <w:rsid w:val="002C1C93"/>
    <w:rsid w:val="002C379F"/>
    <w:rsid w:val="002C5066"/>
    <w:rsid w:val="002C5813"/>
    <w:rsid w:val="002C6070"/>
    <w:rsid w:val="002C7BCD"/>
    <w:rsid w:val="002D162D"/>
    <w:rsid w:val="002D1974"/>
    <w:rsid w:val="002D456A"/>
    <w:rsid w:val="002D4AAC"/>
    <w:rsid w:val="002D4C87"/>
    <w:rsid w:val="002D7FA3"/>
    <w:rsid w:val="002E03D1"/>
    <w:rsid w:val="002E1899"/>
    <w:rsid w:val="002E3D28"/>
    <w:rsid w:val="002E529E"/>
    <w:rsid w:val="002E5426"/>
    <w:rsid w:val="002E7222"/>
    <w:rsid w:val="002F034F"/>
    <w:rsid w:val="002F045A"/>
    <w:rsid w:val="002F1502"/>
    <w:rsid w:val="002F2BF4"/>
    <w:rsid w:val="0030039D"/>
    <w:rsid w:val="0030326F"/>
    <w:rsid w:val="00303F68"/>
    <w:rsid w:val="0030580C"/>
    <w:rsid w:val="00310701"/>
    <w:rsid w:val="0031184D"/>
    <w:rsid w:val="003125E5"/>
    <w:rsid w:val="00315980"/>
    <w:rsid w:val="00316F7F"/>
    <w:rsid w:val="003218E8"/>
    <w:rsid w:val="003226F9"/>
    <w:rsid w:val="00324451"/>
    <w:rsid w:val="00325E34"/>
    <w:rsid w:val="00330DCE"/>
    <w:rsid w:val="00331E11"/>
    <w:rsid w:val="0033328D"/>
    <w:rsid w:val="00334761"/>
    <w:rsid w:val="00337EBC"/>
    <w:rsid w:val="00341DCD"/>
    <w:rsid w:val="00341DDC"/>
    <w:rsid w:val="0034269C"/>
    <w:rsid w:val="00343E0A"/>
    <w:rsid w:val="00343F57"/>
    <w:rsid w:val="00344F1C"/>
    <w:rsid w:val="0034563E"/>
    <w:rsid w:val="00345D17"/>
    <w:rsid w:val="003464C1"/>
    <w:rsid w:val="003518D6"/>
    <w:rsid w:val="00352174"/>
    <w:rsid w:val="003541A2"/>
    <w:rsid w:val="0035460C"/>
    <w:rsid w:val="003556BD"/>
    <w:rsid w:val="003566F6"/>
    <w:rsid w:val="00356B3C"/>
    <w:rsid w:val="00362AEC"/>
    <w:rsid w:val="00365147"/>
    <w:rsid w:val="0037016E"/>
    <w:rsid w:val="00371437"/>
    <w:rsid w:val="00372908"/>
    <w:rsid w:val="00375D25"/>
    <w:rsid w:val="0037745F"/>
    <w:rsid w:val="00382F12"/>
    <w:rsid w:val="00383020"/>
    <w:rsid w:val="003848E0"/>
    <w:rsid w:val="00386760"/>
    <w:rsid w:val="003877FB"/>
    <w:rsid w:val="00392500"/>
    <w:rsid w:val="00394D7E"/>
    <w:rsid w:val="00395C07"/>
    <w:rsid w:val="003975FD"/>
    <w:rsid w:val="003B0318"/>
    <w:rsid w:val="003B057D"/>
    <w:rsid w:val="003B60CC"/>
    <w:rsid w:val="003B64A2"/>
    <w:rsid w:val="003B6645"/>
    <w:rsid w:val="003C1B25"/>
    <w:rsid w:val="003C1D03"/>
    <w:rsid w:val="003C2443"/>
    <w:rsid w:val="003C5DA3"/>
    <w:rsid w:val="003D3B98"/>
    <w:rsid w:val="003D4BCD"/>
    <w:rsid w:val="003D6C2B"/>
    <w:rsid w:val="003E01A5"/>
    <w:rsid w:val="003E01D8"/>
    <w:rsid w:val="003E1B69"/>
    <w:rsid w:val="003E2100"/>
    <w:rsid w:val="003E2F34"/>
    <w:rsid w:val="003E3597"/>
    <w:rsid w:val="003E4405"/>
    <w:rsid w:val="003E5800"/>
    <w:rsid w:val="003E5B56"/>
    <w:rsid w:val="003E5BE7"/>
    <w:rsid w:val="003E608A"/>
    <w:rsid w:val="003F0F56"/>
    <w:rsid w:val="003F4993"/>
    <w:rsid w:val="003F6F5B"/>
    <w:rsid w:val="0040342D"/>
    <w:rsid w:val="00403575"/>
    <w:rsid w:val="00410002"/>
    <w:rsid w:val="00410D81"/>
    <w:rsid w:val="0041192D"/>
    <w:rsid w:val="0041221E"/>
    <w:rsid w:val="00413EE1"/>
    <w:rsid w:val="0041403E"/>
    <w:rsid w:val="00415938"/>
    <w:rsid w:val="00417B25"/>
    <w:rsid w:val="0042128E"/>
    <w:rsid w:val="00422EA1"/>
    <w:rsid w:val="00425C51"/>
    <w:rsid w:val="00425CF9"/>
    <w:rsid w:val="00425D25"/>
    <w:rsid w:val="00430369"/>
    <w:rsid w:val="00432B60"/>
    <w:rsid w:val="00433F22"/>
    <w:rsid w:val="00434AB3"/>
    <w:rsid w:val="00435F8E"/>
    <w:rsid w:val="004377AC"/>
    <w:rsid w:val="00440698"/>
    <w:rsid w:val="00450F3C"/>
    <w:rsid w:val="004540E2"/>
    <w:rsid w:val="00454454"/>
    <w:rsid w:val="004628F2"/>
    <w:rsid w:val="00465A13"/>
    <w:rsid w:val="00466F60"/>
    <w:rsid w:val="00467924"/>
    <w:rsid w:val="00470A03"/>
    <w:rsid w:val="004712A5"/>
    <w:rsid w:val="0047266F"/>
    <w:rsid w:val="004736F8"/>
    <w:rsid w:val="004763DA"/>
    <w:rsid w:val="00476D6B"/>
    <w:rsid w:val="004774DB"/>
    <w:rsid w:val="00477D4D"/>
    <w:rsid w:val="00480BAB"/>
    <w:rsid w:val="00492C16"/>
    <w:rsid w:val="00492C4D"/>
    <w:rsid w:val="00495120"/>
    <w:rsid w:val="004A0678"/>
    <w:rsid w:val="004A2404"/>
    <w:rsid w:val="004A2732"/>
    <w:rsid w:val="004A48A3"/>
    <w:rsid w:val="004A5024"/>
    <w:rsid w:val="004A5124"/>
    <w:rsid w:val="004B0D92"/>
    <w:rsid w:val="004B0EC0"/>
    <w:rsid w:val="004B1C7A"/>
    <w:rsid w:val="004B20A1"/>
    <w:rsid w:val="004B2A2C"/>
    <w:rsid w:val="004B342E"/>
    <w:rsid w:val="004B66F1"/>
    <w:rsid w:val="004B75DA"/>
    <w:rsid w:val="004C3EA0"/>
    <w:rsid w:val="004C6970"/>
    <w:rsid w:val="004D0FF4"/>
    <w:rsid w:val="004D5270"/>
    <w:rsid w:val="004E4585"/>
    <w:rsid w:val="004E5459"/>
    <w:rsid w:val="004E61D6"/>
    <w:rsid w:val="004E689E"/>
    <w:rsid w:val="004E7516"/>
    <w:rsid w:val="004F28B8"/>
    <w:rsid w:val="004F3006"/>
    <w:rsid w:val="004F3494"/>
    <w:rsid w:val="004F679A"/>
    <w:rsid w:val="004F7169"/>
    <w:rsid w:val="004F7A60"/>
    <w:rsid w:val="004F7DCD"/>
    <w:rsid w:val="00500474"/>
    <w:rsid w:val="00500D66"/>
    <w:rsid w:val="0050239E"/>
    <w:rsid w:val="005056B4"/>
    <w:rsid w:val="00505F49"/>
    <w:rsid w:val="00507263"/>
    <w:rsid w:val="005073C2"/>
    <w:rsid w:val="00514C8E"/>
    <w:rsid w:val="0051580D"/>
    <w:rsid w:val="00521F1A"/>
    <w:rsid w:val="00524B50"/>
    <w:rsid w:val="00526813"/>
    <w:rsid w:val="00531DBF"/>
    <w:rsid w:val="0053386A"/>
    <w:rsid w:val="0053468F"/>
    <w:rsid w:val="0054440E"/>
    <w:rsid w:val="00544E26"/>
    <w:rsid w:val="00545759"/>
    <w:rsid w:val="00545BE0"/>
    <w:rsid w:val="00546930"/>
    <w:rsid w:val="005524D2"/>
    <w:rsid w:val="00554C6A"/>
    <w:rsid w:val="00557FC3"/>
    <w:rsid w:val="00561350"/>
    <w:rsid w:val="00562E85"/>
    <w:rsid w:val="0056332F"/>
    <w:rsid w:val="005703AA"/>
    <w:rsid w:val="005719B3"/>
    <w:rsid w:val="0057295E"/>
    <w:rsid w:val="00572ED9"/>
    <w:rsid w:val="005807AA"/>
    <w:rsid w:val="00581C39"/>
    <w:rsid w:val="0058337B"/>
    <w:rsid w:val="00584B5A"/>
    <w:rsid w:val="00587371"/>
    <w:rsid w:val="00587531"/>
    <w:rsid w:val="005903B6"/>
    <w:rsid w:val="005922ED"/>
    <w:rsid w:val="005A0247"/>
    <w:rsid w:val="005A126E"/>
    <w:rsid w:val="005A189A"/>
    <w:rsid w:val="005A28F5"/>
    <w:rsid w:val="005A3F77"/>
    <w:rsid w:val="005A452F"/>
    <w:rsid w:val="005A74CF"/>
    <w:rsid w:val="005A7CF1"/>
    <w:rsid w:val="005B069F"/>
    <w:rsid w:val="005B140D"/>
    <w:rsid w:val="005B7149"/>
    <w:rsid w:val="005C1FEA"/>
    <w:rsid w:val="005C2AD1"/>
    <w:rsid w:val="005C3495"/>
    <w:rsid w:val="005C3C9D"/>
    <w:rsid w:val="005D1522"/>
    <w:rsid w:val="005E3048"/>
    <w:rsid w:val="005E3DFC"/>
    <w:rsid w:val="005E5942"/>
    <w:rsid w:val="005E606C"/>
    <w:rsid w:val="005E60AF"/>
    <w:rsid w:val="005F0E4C"/>
    <w:rsid w:val="005F1DEA"/>
    <w:rsid w:val="006010AD"/>
    <w:rsid w:val="00604ACC"/>
    <w:rsid w:val="00605099"/>
    <w:rsid w:val="0060645C"/>
    <w:rsid w:val="00607FC9"/>
    <w:rsid w:val="006103B1"/>
    <w:rsid w:val="00611075"/>
    <w:rsid w:val="00612C74"/>
    <w:rsid w:val="0062119C"/>
    <w:rsid w:val="00622FE1"/>
    <w:rsid w:val="0062521C"/>
    <w:rsid w:val="00625461"/>
    <w:rsid w:val="00626E01"/>
    <w:rsid w:val="00630A2B"/>
    <w:rsid w:val="00632DC7"/>
    <w:rsid w:val="00633333"/>
    <w:rsid w:val="006357FB"/>
    <w:rsid w:val="006379E2"/>
    <w:rsid w:val="006406FC"/>
    <w:rsid w:val="00640E57"/>
    <w:rsid w:val="00644EEA"/>
    <w:rsid w:val="00646122"/>
    <w:rsid w:val="006504E6"/>
    <w:rsid w:val="0065328F"/>
    <w:rsid w:val="00653E16"/>
    <w:rsid w:val="006568D6"/>
    <w:rsid w:val="00657220"/>
    <w:rsid w:val="00657362"/>
    <w:rsid w:val="0066104B"/>
    <w:rsid w:val="006618D0"/>
    <w:rsid w:val="0066286B"/>
    <w:rsid w:val="00662DE0"/>
    <w:rsid w:val="00663ADE"/>
    <w:rsid w:val="006646E8"/>
    <w:rsid w:val="006655EE"/>
    <w:rsid w:val="00666DF8"/>
    <w:rsid w:val="00667092"/>
    <w:rsid w:val="006670ED"/>
    <w:rsid w:val="00667C10"/>
    <w:rsid w:val="00667EF4"/>
    <w:rsid w:val="00671E7C"/>
    <w:rsid w:val="00672712"/>
    <w:rsid w:val="006759DA"/>
    <w:rsid w:val="00676FCA"/>
    <w:rsid w:val="00677177"/>
    <w:rsid w:val="0068612E"/>
    <w:rsid w:val="00687110"/>
    <w:rsid w:val="00687C92"/>
    <w:rsid w:val="0069236B"/>
    <w:rsid w:val="0069284A"/>
    <w:rsid w:val="00694387"/>
    <w:rsid w:val="0069534E"/>
    <w:rsid w:val="0069669C"/>
    <w:rsid w:val="006967AA"/>
    <w:rsid w:val="006A1200"/>
    <w:rsid w:val="006A2024"/>
    <w:rsid w:val="006A3D19"/>
    <w:rsid w:val="006A474B"/>
    <w:rsid w:val="006A4F4E"/>
    <w:rsid w:val="006A6C23"/>
    <w:rsid w:val="006B135E"/>
    <w:rsid w:val="006B14DB"/>
    <w:rsid w:val="006B1D56"/>
    <w:rsid w:val="006B21C4"/>
    <w:rsid w:val="006B232F"/>
    <w:rsid w:val="006B40BE"/>
    <w:rsid w:val="006C1B80"/>
    <w:rsid w:val="006C4A1A"/>
    <w:rsid w:val="006C5C69"/>
    <w:rsid w:val="006C7E18"/>
    <w:rsid w:val="006D0393"/>
    <w:rsid w:val="006D0FF7"/>
    <w:rsid w:val="006D1A83"/>
    <w:rsid w:val="006D45CD"/>
    <w:rsid w:val="006D6846"/>
    <w:rsid w:val="006E1CFE"/>
    <w:rsid w:val="006E6763"/>
    <w:rsid w:val="006F0A88"/>
    <w:rsid w:val="006F10C4"/>
    <w:rsid w:val="006F184F"/>
    <w:rsid w:val="006F3D65"/>
    <w:rsid w:val="006F40E9"/>
    <w:rsid w:val="006F4C04"/>
    <w:rsid w:val="006F5603"/>
    <w:rsid w:val="006F6696"/>
    <w:rsid w:val="006F7B87"/>
    <w:rsid w:val="007008FF"/>
    <w:rsid w:val="00701080"/>
    <w:rsid w:val="00701400"/>
    <w:rsid w:val="00702532"/>
    <w:rsid w:val="007037CF"/>
    <w:rsid w:val="00712E17"/>
    <w:rsid w:val="007167C0"/>
    <w:rsid w:val="007171A9"/>
    <w:rsid w:val="007202EE"/>
    <w:rsid w:val="00720481"/>
    <w:rsid w:val="00721A26"/>
    <w:rsid w:val="00731904"/>
    <w:rsid w:val="00731D8B"/>
    <w:rsid w:val="00733193"/>
    <w:rsid w:val="00734E84"/>
    <w:rsid w:val="00744DDA"/>
    <w:rsid w:val="00745E03"/>
    <w:rsid w:val="00750F1D"/>
    <w:rsid w:val="007541FF"/>
    <w:rsid w:val="00754DB1"/>
    <w:rsid w:val="0075535F"/>
    <w:rsid w:val="0075732A"/>
    <w:rsid w:val="007600F8"/>
    <w:rsid w:val="00760262"/>
    <w:rsid w:val="00761E26"/>
    <w:rsid w:val="00762DC7"/>
    <w:rsid w:val="0076310C"/>
    <w:rsid w:val="0076358E"/>
    <w:rsid w:val="00764D49"/>
    <w:rsid w:val="00766529"/>
    <w:rsid w:val="0076744F"/>
    <w:rsid w:val="00767BCE"/>
    <w:rsid w:val="00767EFC"/>
    <w:rsid w:val="007707DE"/>
    <w:rsid w:val="00770B5D"/>
    <w:rsid w:val="0077160A"/>
    <w:rsid w:val="00774BA1"/>
    <w:rsid w:val="007752F1"/>
    <w:rsid w:val="00776768"/>
    <w:rsid w:val="00781371"/>
    <w:rsid w:val="0078187A"/>
    <w:rsid w:val="00783797"/>
    <w:rsid w:val="00791447"/>
    <w:rsid w:val="007916BF"/>
    <w:rsid w:val="00791EE4"/>
    <w:rsid w:val="007942CD"/>
    <w:rsid w:val="00794CD2"/>
    <w:rsid w:val="00794ED8"/>
    <w:rsid w:val="00796CB5"/>
    <w:rsid w:val="00797845"/>
    <w:rsid w:val="007A2573"/>
    <w:rsid w:val="007A2FFB"/>
    <w:rsid w:val="007A3B2E"/>
    <w:rsid w:val="007A7841"/>
    <w:rsid w:val="007B106C"/>
    <w:rsid w:val="007B1A4E"/>
    <w:rsid w:val="007B39E5"/>
    <w:rsid w:val="007B3D05"/>
    <w:rsid w:val="007B5503"/>
    <w:rsid w:val="007C179C"/>
    <w:rsid w:val="007C5A06"/>
    <w:rsid w:val="007C5C38"/>
    <w:rsid w:val="007C6BB3"/>
    <w:rsid w:val="007D14B4"/>
    <w:rsid w:val="007D3AD7"/>
    <w:rsid w:val="007D4F30"/>
    <w:rsid w:val="007D6DCF"/>
    <w:rsid w:val="007E15B6"/>
    <w:rsid w:val="007E24F6"/>
    <w:rsid w:val="007E312C"/>
    <w:rsid w:val="007F0FEB"/>
    <w:rsid w:val="007F1CA7"/>
    <w:rsid w:val="007F7625"/>
    <w:rsid w:val="0080059D"/>
    <w:rsid w:val="00800F64"/>
    <w:rsid w:val="00801050"/>
    <w:rsid w:val="00801E04"/>
    <w:rsid w:val="00802F0B"/>
    <w:rsid w:val="008046DC"/>
    <w:rsid w:val="00806A19"/>
    <w:rsid w:val="00807CA0"/>
    <w:rsid w:val="00810A67"/>
    <w:rsid w:val="00810BE1"/>
    <w:rsid w:val="0081239E"/>
    <w:rsid w:val="0081388E"/>
    <w:rsid w:val="0081720D"/>
    <w:rsid w:val="00821AF3"/>
    <w:rsid w:val="00822EF7"/>
    <w:rsid w:val="00824431"/>
    <w:rsid w:val="00825D4A"/>
    <w:rsid w:val="00826929"/>
    <w:rsid w:val="00830BAC"/>
    <w:rsid w:val="00831296"/>
    <w:rsid w:val="00833CF7"/>
    <w:rsid w:val="00834CDE"/>
    <w:rsid w:val="0083554F"/>
    <w:rsid w:val="00835F40"/>
    <w:rsid w:val="00842464"/>
    <w:rsid w:val="00842725"/>
    <w:rsid w:val="00843362"/>
    <w:rsid w:val="00845601"/>
    <w:rsid w:val="00846993"/>
    <w:rsid w:val="00846D0D"/>
    <w:rsid w:val="00846EC1"/>
    <w:rsid w:val="00851E03"/>
    <w:rsid w:val="008544EE"/>
    <w:rsid w:val="00855C5C"/>
    <w:rsid w:val="00860119"/>
    <w:rsid w:val="00860532"/>
    <w:rsid w:val="008646F4"/>
    <w:rsid w:val="00864C67"/>
    <w:rsid w:val="00867645"/>
    <w:rsid w:val="00872080"/>
    <w:rsid w:val="0087348B"/>
    <w:rsid w:val="00874BA0"/>
    <w:rsid w:val="008767B0"/>
    <w:rsid w:val="0088053B"/>
    <w:rsid w:val="00885277"/>
    <w:rsid w:val="00887019"/>
    <w:rsid w:val="0089385D"/>
    <w:rsid w:val="008A28A7"/>
    <w:rsid w:val="008A3106"/>
    <w:rsid w:val="008A3C96"/>
    <w:rsid w:val="008A59F1"/>
    <w:rsid w:val="008B01D5"/>
    <w:rsid w:val="008B3482"/>
    <w:rsid w:val="008B4019"/>
    <w:rsid w:val="008B65C9"/>
    <w:rsid w:val="008B6EB5"/>
    <w:rsid w:val="008C1D4C"/>
    <w:rsid w:val="008C2D4A"/>
    <w:rsid w:val="008C3EA2"/>
    <w:rsid w:val="008C46A8"/>
    <w:rsid w:val="008C624B"/>
    <w:rsid w:val="008C726F"/>
    <w:rsid w:val="008D1C35"/>
    <w:rsid w:val="008D25FD"/>
    <w:rsid w:val="008D3900"/>
    <w:rsid w:val="008D6E1D"/>
    <w:rsid w:val="008E051B"/>
    <w:rsid w:val="008E24A5"/>
    <w:rsid w:val="008E2E76"/>
    <w:rsid w:val="008E30D4"/>
    <w:rsid w:val="008E4706"/>
    <w:rsid w:val="008F223C"/>
    <w:rsid w:val="008F39B4"/>
    <w:rsid w:val="008F4162"/>
    <w:rsid w:val="008F7144"/>
    <w:rsid w:val="00901487"/>
    <w:rsid w:val="009033E3"/>
    <w:rsid w:val="00903E02"/>
    <w:rsid w:val="00907AE1"/>
    <w:rsid w:val="00910843"/>
    <w:rsid w:val="00913175"/>
    <w:rsid w:val="00913424"/>
    <w:rsid w:val="00916A11"/>
    <w:rsid w:val="00916EDB"/>
    <w:rsid w:val="00917F79"/>
    <w:rsid w:val="00920861"/>
    <w:rsid w:val="009219E3"/>
    <w:rsid w:val="00921E73"/>
    <w:rsid w:val="00922B13"/>
    <w:rsid w:val="009242EF"/>
    <w:rsid w:val="00932291"/>
    <w:rsid w:val="00932557"/>
    <w:rsid w:val="00932861"/>
    <w:rsid w:val="009328A7"/>
    <w:rsid w:val="0093408E"/>
    <w:rsid w:val="00934DAC"/>
    <w:rsid w:val="00936C3E"/>
    <w:rsid w:val="00941F69"/>
    <w:rsid w:val="009421C8"/>
    <w:rsid w:val="00944FE1"/>
    <w:rsid w:val="00946BBE"/>
    <w:rsid w:val="00947441"/>
    <w:rsid w:val="00952750"/>
    <w:rsid w:val="00952DDF"/>
    <w:rsid w:val="00952F34"/>
    <w:rsid w:val="0095338E"/>
    <w:rsid w:val="009555D1"/>
    <w:rsid w:val="009600BC"/>
    <w:rsid w:val="009610A3"/>
    <w:rsid w:val="00963991"/>
    <w:rsid w:val="00963B6A"/>
    <w:rsid w:val="0096573D"/>
    <w:rsid w:val="00970950"/>
    <w:rsid w:val="00972082"/>
    <w:rsid w:val="00974E5B"/>
    <w:rsid w:val="009770B4"/>
    <w:rsid w:val="009771FF"/>
    <w:rsid w:val="009812D4"/>
    <w:rsid w:val="0098149C"/>
    <w:rsid w:val="0098247A"/>
    <w:rsid w:val="00984CC0"/>
    <w:rsid w:val="00986CFC"/>
    <w:rsid w:val="00987593"/>
    <w:rsid w:val="009920D8"/>
    <w:rsid w:val="00992468"/>
    <w:rsid w:val="009952F5"/>
    <w:rsid w:val="009A54FA"/>
    <w:rsid w:val="009A56F0"/>
    <w:rsid w:val="009A7B88"/>
    <w:rsid w:val="009B2A17"/>
    <w:rsid w:val="009B38BE"/>
    <w:rsid w:val="009B3EF0"/>
    <w:rsid w:val="009B47B6"/>
    <w:rsid w:val="009B51AE"/>
    <w:rsid w:val="009B566C"/>
    <w:rsid w:val="009B67C0"/>
    <w:rsid w:val="009B7A9E"/>
    <w:rsid w:val="009C0176"/>
    <w:rsid w:val="009C303D"/>
    <w:rsid w:val="009C3C8C"/>
    <w:rsid w:val="009C3D0F"/>
    <w:rsid w:val="009C4596"/>
    <w:rsid w:val="009C4941"/>
    <w:rsid w:val="009C71AE"/>
    <w:rsid w:val="009D44BE"/>
    <w:rsid w:val="009D467A"/>
    <w:rsid w:val="009D4689"/>
    <w:rsid w:val="009E1B19"/>
    <w:rsid w:val="009E69C3"/>
    <w:rsid w:val="009F2FE0"/>
    <w:rsid w:val="009F35E2"/>
    <w:rsid w:val="009F446A"/>
    <w:rsid w:val="009F65F9"/>
    <w:rsid w:val="009F68BA"/>
    <w:rsid w:val="00A06277"/>
    <w:rsid w:val="00A062AC"/>
    <w:rsid w:val="00A064A1"/>
    <w:rsid w:val="00A079DC"/>
    <w:rsid w:val="00A111C2"/>
    <w:rsid w:val="00A12715"/>
    <w:rsid w:val="00A16F77"/>
    <w:rsid w:val="00A17E96"/>
    <w:rsid w:val="00A22D92"/>
    <w:rsid w:val="00A31146"/>
    <w:rsid w:val="00A3197F"/>
    <w:rsid w:val="00A338E7"/>
    <w:rsid w:val="00A35CAA"/>
    <w:rsid w:val="00A36E7F"/>
    <w:rsid w:val="00A41B9B"/>
    <w:rsid w:val="00A41D52"/>
    <w:rsid w:val="00A41E65"/>
    <w:rsid w:val="00A43B29"/>
    <w:rsid w:val="00A43E0A"/>
    <w:rsid w:val="00A508B3"/>
    <w:rsid w:val="00A530C7"/>
    <w:rsid w:val="00A55F5B"/>
    <w:rsid w:val="00A60185"/>
    <w:rsid w:val="00A61041"/>
    <w:rsid w:val="00A6359C"/>
    <w:rsid w:val="00A63BB5"/>
    <w:rsid w:val="00A661EA"/>
    <w:rsid w:val="00A72B0B"/>
    <w:rsid w:val="00A771B8"/>
    <w:rsid w:val="00A80801"/>
    <w:rsid w:val="00A830E5"/>
    <w:rsid w:val="00A8344E"/>
    <w:rsid w:val="00A84C6D"/>
    <w:rsid w:val="00A87135"/>
    <w:rsid w:val="00A87781"/>
    <w:rsid w:val="00A90CDB"/>
    <w:rsid w:val="00A913D0"/>
    <w:rsid w:val="00A93280"/>
    <w:rsid w:val="00A936DA"/>
    <w:rsid w:val="00A93E37"/>
    <w:rsid w:val="00A951EA"/>
    <w:rsid w:val="00AA143D"/>
    <w:rsid w:val="00AA2548"/>
    <w:rsid w:val="00AA465D"/>
    <w:rsid w:val="00AA498A"/>
    <w:rsid w:val="00AA58C4"/>
    <w:rsid w:val="00AA6373"/>
    <w:rsid w:val="00AA7003"/>
    <w:rsid w:val="00AA79A4"/>
    <w:rsid w:val="00AB08A3"/>
    <w:rsid w:val="00AB11C8"/>
    <w:rsid w:val="00AB246F"/>
    <w:rsid w:val="00AB48DF"/>
    <w:rsid w:val="00AB7185"/>
    <w:rsid w:val="00AB7E51"/>
    <w:rsid w:val="00AC08A8"/>
    <w:rsid w:val="00AC1437"/>
    <w:rsid w:val="00AC2235"/>
    <w:rsid w:val="00AD11EE"/>
    <w:rsid w:val="00AD293B"/>
    <w:rsid w:val="00AD2BE6"/>
    <w:rsid w:val="00AD56C8"/>
    <w:rsid w:val="00AD5708"/>
    <w:rsid w:val="00AD58F2"/>
    <w:rsid w:val="00AF0D62"/>
    <w:rsid w:val="00AF2797"/>
    <w:rsid w:val="00AF314B"/>
    <w:rsid w:val="00B00DF3"/>
    <w:rsid w:val="00B0476B"/>
    <w:rsid w:val="00B0500D"/>
    <w:rsid w:val="00B0512A"/>
    <w:rsid w:val="00B0529F"/>
    <w:rsid w:val="00B05AFF"/>
    <w:rsid w:val="00B07B83"/>
    <w:rsid w:val="00B10628"/>
    <w:rsid w:val="00B1418B"/>
    <w:rsid w:val="00B14FA0"/>
    <w:rsid w:val="00B17324"/>
    <w:rsid w:val="00B20D3F"/>
    <w:rsid w:val="00B21195"/>
    <w:rsid w:val="00B23C7F"/>
    <w:rsid w:val="00B24B22"/>
    <w:rsid w:val="00B24DB2"/>
    <w:rsid w:val="00B25310"/>
    <w:rsid w:val="00B25E6A"/>
    <w:rsid w:val="00B27B9D"/>
    <w:rsid w:val="00B32F8F"/>
    <w:rsid w:val="00B330C6"/>
    <w:rsid w:val="00B3492A"/>
    <w:rsid w:val="00B36A80"/>
    <w:rsid w:val="00B36BB5"/>
    <w:rsid w:val="00B43DA1"/>
    <w:rsid w:val="00B47B09"/>
    <w:rsid w:val="00B52F33"/>
    <w:rsid w:val="00B54DE9"/>
    <w:rsid w:val="00B553EC"/>
    <w:rsid w:val="00B55E3F"/>
    <w:rsid w:val="00B61BD0"/>
    <w:rsid w:val="00B62793"/>
    <w:rsid w:val="00B63C1E"/>
    <w:rsid w:val="00B66346"/>
    <w:rsid w:val="00B666E7"/>
    <w:rsid w:val="00B70753"/>
    <w:rsid w:val="00B74D02"/>
    <w:rsid w:val="00B75105"/>
    <w:rsid w:val="00B75361"/>
    <w:rsid w:val="00B75C43"/>
    <w:rsid w:val="00B80689"/>
    <w:rsid w:val="00B8538B"/>
    <w:rsid w:val="00B86BEF"/>
    <w:rsid w:val="00B91019"/>
    <w:rsid w:val="00B92DD2"/>
    <w:rsid w:val="00B93DD0"/>
    <w:rsid w:val="00B94F67"/>
    <w:rsid w:val="00B97694"/>
    <w:rsid w:val="00B9772E"/>
    <w:rsid w:val="00B97732"/>
    <w:rsid w:val="00BA0CEE"/>
    <w:rsid w:val="00BA5469"/>
    <w:rsid w:val="00BA5DF4"/>
    <w:rsid w:val="00BA5FEB"/>
    <w:rsid w:val="00BA65A8"/>
    <w:rsid w:val="00BA6D19"/>
    <w:rsid w:val="00BA7461"/>
    <w:rsid w:val="00BA7DA9"/>
    <w:rsid w:val="00BB0B1E"/>
    <w:rsid w:val="00BB16C3"/>
    <w:rsid w:val="00BB1DA4"/>
    <w:rsid w:val="00BB610C"/>
    <w:rsid w:val="00BC4215"/>
    <w:rsid w:val="00BC53EC"/>
    <w:rsid w:val="00BC6A69"/>
    <w:rsid w:val="00BC7786"/>
    <w:rsid w:val="00BD14AA"/>
    <w:rsid w:val="00BD1A6F"/>
    <w:rsid w:val="00BD2D68"/>
    <w:rsid w:val="00BD2EA6"/>
    <w:rsid w:val="00BE1858"/>
    <w:rsid w:val="00BE3767"/>
    <w:rsid w:val="00BE4C7D"/>
    <w:rsid w:val="00BE6D3C"/>
    <w:rsid w:val="00BE7852"/>
    <w:rsid w:val="00BF2323"/>
    <w:rsid w:val="00BF2A0C"/>
    <w:rsid w:val="00BF4485"/>
    <w:rsid w:val="00BF7CEE"/>
    <w:rsid w:val="00C019BB"/>
    <w:rsid w:val="00C03880"/>
    <w:rsid w:val="00C03AF0"/>
    <w:rsid w:val="00C111B0"/>
    <w:rsid w:val="00C13556"/>
    <w:rsid w:val="00C135CF"/>
    <w:rsid w:val="00C13D45"/>
    <w:rsid w:val="00C150E9"/>
    <w:rsid w:val="00C169B5"/>
    <w:rsid w:val="00C24D46"/>
    <w:rsid w:val="00C2683F"/>
    <w:rsid w:val="00C27FE2"/>
    <w:rsid w:val="00C3184D"/>
    <w:rsid w:val="00C35DF2"/>
    <w:rsid w:val="00C36EF9"/>
    <w:rsid w:val="00C45F7B"/>
    <w:rsid w:val="00C4714E"/>
    <w:rsid w:val="00C514F5"/>
    <w:rsid w:val="00C51CCA"/>
    <w:rsid w:val="00C5504F"/>
    <w:rsid w:val="00C55235"/>
    <w:rsid w:val="00C558F2"/>
    <w:rsid w:val="00C57B55"/>
    <w:rsid w:val="00C57D0B"/>
    <w:rsid w:val="00C605D4"/>
    <w:rsid w:val="00C63376"/>
    <w:rsid w:val="00C66BA8"/>
    <w:rsid w:val="00C74F97"/>
    <w:rsid w:val="00C776F3"/>
    <w:rsid w:val="00C807F3"/>
    <w:rsid w:val="00C815BB"/>
    <w:rsid w:val="00C8276E"/>
    <w:rsid w:val="00C82CE0"/>
    <w:rsid w:val="00C842AC"/>
    <w:rsid w:val="00C84598"/>
    <w:rsid w:val="00C87FA6"/>
    <w:rsid w:val="00C90AB8"/>
    <w:rsid w:val="00C926DC"/>
    <w:rsid w:val="00C96688"/>
    <w:rsid w:val="00C970FE"/>
    <w:rsid w:val="00C97971"/>
    <w:rsid w:val="00C97A38"/>
    <w:rsid w:val="00CA030E"/>
    <w:rsid w:val="00CA0723"/>
    <w:rsid w:val="00CA340A"/>
    <w:rsid w:val="00CA54C7"/>
    <w:rsid w:val="00CB0006"/>
    <w:rsid w:val="00CB0F81"/>
    <w:rsid w:val="00CB1690"/>
    <w:rsid w:val="00CB2E1D"/>
    <w:rsid w:val="00CB3801"/>
    <w:rsid w:val="00CC344E"/>
    <w:rsid w:val="00CC406D"/>
    <w:rsid w:val="00CC4365"/>
    <w:rsid w:val="00CD11B0"/>
    <w:rsid w:val="00CD77FA"/>
    <w:rsid w:val="00CE028E"/>
    <w:rsid w:val="00CE71C2"/>
    <w:rsid w:val="00CF104F"/>
    <w:rsid w:val="00CF34E9"/>
    <w:rsid w:val="00CF42D5"/>
    <w:rsid w:val="00CF4EDA"/>
    <w:rsid w:val="00CF5AA3"/>
    <w:rsid w:val="00CF5DC1"/>
    <w:rsid w:val="00CF7E29"/>
    <w:rsid w:val="00D021CB"/>
    <w:rsid w:val="00D051E8"/>
    <w:rsid w:val="00D10F1A"/>
    <w:rsid w:val="00D116F8"/>
    <w:rsid w:val="00D1482E"/>
    <w:rsid w:val="00D14F11"/>
    <w:rsid w:val="00D14F2F"/>
    <w:rsid w:val="00D164AF"/>
    <w:rsid w:val="00D164F1"/>
    <w:rsid w:val="00D16AC1"/>
    <w:rsid w:val="00D17596"/>
    <w:rsid w:val="00D21D54"/>
    <w:rsid w:val="00D22640"/>
    <w:rsid w:val="00D259FC"/>
    <w:rsid w:val="00D26D3A"/>
    <w:rsid w:val="00D454F2"/>
    <w:rsid w:val="00D4555C"/>
    <w:rsid w:val="00D45EE3"/>
    <w:rsid w:val="00D47E35"/>
    <w:rsid w:val="00D50618"/>
    <w:rsid w:val="00D509E9"/>
    <w:rsid w:val="00D5210B"/>
    <w:rsid w:val="00D53B1C"/>
    <w:rsid w:val="00D5646B"/>
    <w:rsid w:val="00D61DA4"/>
    <w:rsid w:val="00D627CE"/>
    <w:rsid w:val="00D71937"/>
    <w:rsid w:val="00D729A7"/>
    <w:rsid w:val="00D72BBF"/>
    <w:rsid w:val="00D7522A"/>
    <w:rsid w:val="00D92C1C"/>
    <w:rsid w:val="00D95155"/>
    <w:rsid w:val="00DA170E"/>
    <w:rsid w:val="00DA1B12"/>
    <w:rsid w:val="00DA3440"/>
    <w:rsid w:val="00DA3679"/>
    <w:rsid w:val="00DA54C9"/>
    <w:rsid w:val="00DA6739"/>
    <w:rsid w:val="00DA6CAE"/>
    <w:rsid w:val="00DA71BF"/>
    <w:rsid w:val="00DB1596"/>
    <w:rsid w:val="00DB1A9E"/>
    <w:rsid w:val="00DB2D06"/>
    <w:rsid w:val="00DB31D6"/>
    <w:rsid w:val="00DB37A7"/>
    <w:rsid w:val="00DB4005"/>
    <w:rsid w:val="00DB5B1F"/>
    <w:rsid w:val="00DC09C9"/>
    <w:rsid w:val="00DC34EB"/>
    <w:rsid w:val="00DC7EF8"/>
    <w:rsid w:val="00DD0759"/>
    <w:rsid w:val="00DD4538"/>
    <w:rsid w:val="00DD5306"/>
    <w:rsid w:val="00DE41B2"/>
    <w:rsid w:val="00DF1E5B"/>
    <w:rsid w:val="00DF2275"/>
    <w:rsid w:val="00DF227A"/>
    <w:rsid w:val="00DF230A"/>
    <w:rsid w:val="00DF3F5E"/>
    <w:rsid w:val="00DF5606"/>
    <w:rsid w:val="00DF5653"/>
    <w:rsid w:val="00DF6C44"/>
    <w:rsid w:val="00E0519D"/>
    <w:rsid w:val="00E0596E"/>
    <w:rsid w:val="00E06F66"/>
    <w:rsid w:val="00E14757"/>
    <w:rsid w:val="00E160F6"/>
    <w:rsid w:val="00E20FE9"/>
    <w:rsid w:val="00E2153A"/>
    <w:rsid w:val="00E30526"/>
    <w:rsid w:val="00E328E0"/>
    <w:rsid w:val="00E356E5"/>
    <w:rsid w:val="00E36F81"/>
    <w:rsid w:val="00E37A13"/>
    <w:rsid w:val="00E431A8"/>
    <w:rsid w:val="00E45765"/>
    <w:rsid w:val="00E5098C"/>
    <w:rsid w:val="00E536AF"/>
    <w:rsid w:val="00E568E5"/>
    <w:rsid w:val="00E57494"/>
    <w:rsid w:val="00E60213"/>
    <w:rsid w:val="00E6076F"/>
    <w:rsid w:val="00E6121F"/>
    <w:rsid w:val="00E661B2"/>
    <w:rsid w:val="00E66A89"/>
    <w:rsid w:val="00E66BD6"/>
    <w:rsid w:val="00E67ADA"/>
    <w:rsid w:val="00E70C22"/>
    <w:rsid w:val="00E71901"/>
    <w:rsid w:val="00E73940"/>
    <w:rsid w:val="00E74D29"/>
    <w:rsid w:val="00E75AA1"/>
    <w:rsid w:val="00E7659D"/>
    <w:rsid w:val="00E83C74"/>
    <w:rsid w:val="00E83CEE"/>
    <w:rsid w:val="00E8427C"/>
    <w:rsid w:val="00E852CE"/>
    <w:rsid w:val="00E865F3"/>
    <w:rsid w:val="00E9098C"/>
    <w:rsid w:val="00E90AB4"/>
    <w:rsid w:val="00E91634"/>
    <w:rsid w:val="00E91F18"/>
    <w:rsid w:val="00E9226D"/>
    <w:rsid w:val="00E92753"/>
    <w:rsid w:val="00E95B00"/>
    <w:rsid w:val="00E96484"/>
    <w:rsid w:val="00EA2002"/>
    <w:rsid w:val="00EA2CB4"/>
    <w:rsid w:val="00EA416C"/>
    <w:rsid w:val="00EA5941"/>
    <w:rsid w:val="00EB506B"/>
    <w:rsid w:val="00EB52E6"/>
    <w:rsid w:val="00EB60CE"/>
    <w:rsid w:val="00EB7D53"/>
    <w:rsid w:val="00EC1E79"/>
    <w:rsid w:val="00EC23EC"/>
    <w:rsid w:val="00EC6607"/>
    <w:rsid w:val="00ED000D"/>
    <w:rsid w:val="00ED01BF"/>
    <w:rsid w:val="00ED327B"/>
    <w:rsid w:val="00ED5FA6"/>
    <w:rsid w:val="00EE3146"/>
    <w:rsid w:val="00EE3FFC"/>
    <w:rsid w:val="00EE7AA2"/>
    <w:rsid w:val="00EF50BB"/>
    <w:rsid w:val="00EF53FF"/>
    <w:rsid w:val="00EF7067"/>
    <w:rsid w:val="00EF72A2"/>
    <w:rsid w:val="00F00192"/>
    <w:rsid w:val="00F001E0"/>
    <w:rsid w:val="00F01127"/>
    <w:rsid w:val="00F0140F"/>
    <w:rsid w:val="00F01BA6"/>
    <w:rsid w:val="00F01DF6"/>
    <w:rsid w:val="00F0340D"/>
    <w:rsid w:val="00F03684"/>
    <w:rsid w:val="00F059A6"/>
    <w:rsid w:val="00F1076B"/>
    <w:rsid w:val="00F122B4"/>
    <w:rsid w:val="00F23756"/>
    <w:rsid w:val="00F2492C"/>
    <w:rsid w:val="00F2523A"/>
    <w:rsid w:val="00F25FFA"/>
    <w:rsid w:val="00F2787A"/>
    <w:rsid w:val="00F310D2"/>
    <w:rsid w:val="00F359AA"/>
    <w:rsid w:val="00F36AF8"/>
    <w:rsid w:val="00F36F3D"/>
    <w:rsid w:val="00F477BD"/>
    <w:rsid w:val="00F50905"/>
    <w:rsid w:val="00F53491"/>
    <w:rsid w:val="00F54C54"/>
    <w:rsid w:val="00F5653D"/>
    <w:rsid w:val="00F60215"/>
    <w:rsid w:val="00F607C2"/>
    <w:rsid w:val="00F621E6"/>
    <w:rsid w:val="00F65675"/>
    <w:rsid w:val="00F65A1C"/>
    <w:rsid w:val="00F66F50"/>
    <w:rsid w:val="00F709AB"/>
    <w:rsid w:val="00F7479E"/>
    <w:rsid w:val="00F76B46"/>
    <w:rsid w:val="00F82FF8"/>
    <w:rsid w:val="00F8330D"/>
    <w:rsid w:val="00F84305"/>
    <w:rsid w:val="00F8485C"/>
    <w:rsid w:val="00F87149"/>
    <w:rsid w:val="00F87226"/>
    <w:rsid w:val="00F87711"/>
    <w:rsid w:val="00F87B85"/>
    <w:rsid w:val="00F87FFE"/>
    <w:rsid w:val="00F93081"/>
    <w:rsid w:val="00F94060"/>
    <w:rsid w:val="00F954C9"/>
    <w:rsid w:val="00FA1970"/>
    <w:rsid w:val="00FA4CF0"/>
    <w:rsid w:val="00FA61AA"/>
    <w:rsid w:val="00FA6813"/>
    <w:rsid w:val="00FA69A4"/>
    <w:rsid w:val="00FB1279"/>
    <w:rsid w:val="00FB128B"/>
    <w:rsid w:val="00FB1495"/>
    <w:rsid w:val="00FB4411"/>
    <w:rsid w:val="00FB5510"/>
    <w:rsid w:val="00FB5D32"/>
    <w:rsid w:val="00FB5FA5"/>
    <w:rsid w:val="00FC3733"/>
    <w:rsid w:val="00FC4DB5"/>
    <w:rsid w:val="00FD04C6"/>
    <w:rsid w:val="00FD15BE"/>
    <w:rsid w:val="00FD1694"/>
    <w:rsid w:val="00FD7636"/>
    <w:rsid w:val="00FE3229"/>
    <w:rsid w:val="00FE74C3"/>
    <w:rsid w:val="00FF215C"/>
    <w:rsid w:val="00FF331C"/>
    <w:rsid w:val="00FF49E8"/>
    <w:rsid w:val="00FF5998"/>
    <w:rsid w:val="00FF672F"/>
    <w:rsid w:val="00FF6B64"/>
    <w:rsid w:val="00FF7100"/>
    <w:rsid w:val="00FF7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link w:val="ListParagraphChar"/>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6618D0"/>
    <w:rPr>
      <w:strike w:val="0"/>
      <w:dstrike w:val="0"/>
      <w:color w:val="0062A0"/>
      <w:sz w:val="24"/>
      <w:szCs w:val="24"/>
      <w:u w:val="single"/>
      <w:effect w:val="none"/>
      <w:bdr w:val="none" w:sz="0" w:space="0" w:color="auto" w:frame="1"/>
      <w:vertAlign w:val="baseline"/>
    </w:rPr>
  </w:style>
  <w:style w:type="character" w:styleId="Emphasis">
    <w:name w:val="Emphasis"/>
    <w:basedOn w:val="DefaultParagraphFont"/>
    <w:uiPriority w:val="20"/>
    <w:qFormat/>
    <w:rsid w:val="006618D0"/>
    <w:rPr>
      <w:i/>
      <w:iCs/>
      <w:sz w:val="24"/>
      <w:szCs w:val="24"/>
      <w:bdr w:val="none" w:sz="0" w:space="0" w:color="auto" w:frame="1"/>
      <w:vertAlign w:val="baseline"/>
    </w:rPr>
  </w:style>
  <w:style w:type="paragraph" w:styleId="NormalWeb">
    <w:name w:val="Normal (Web)"/>
    <w:basedOn w:val="Normal"/>
    <w:uiPriority w:val="99"/>
    <w:semiHidden/>
    <w:unhideWhenUsed/>
    <w:rsid w:val="006618D0"/>
    <w:pPr>
      <w:spacing w:after="180" w:line="240" w:lineRule="auto"/>
      <w:textAlignment w:val="baseline"/>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BA5469"/>
    <w:rPr>
      <w:sz w:val="16"/>
      <w:szCs w:val="16"/>
    </w:rPr>
  </w:style>
  <w:style w:type="paragraph" w:styleId="CommentText">
    <w:name w:val="annotation text"/>
    <w:basedOn w:val="Normal"/>
    <w:link w:val="CommentTextChar"/>
    <w:uiPriority w:val="99"/>
    <w:semiHidden/>
    <w:unhideWhenUsed/>
    <w:rsid w:val="00BA5469"/>
    <w:pPr>
      <w:spacing w:line="240" w:lineRule="auto"/>
    </w:pPr>
    <w:rPr>
      <w:sz w:val="20"/>
      <w:szCs w:val="20"/>
    </w:rPr>
  </w:style>
  <w:style w:type="character" w:customStyle="1" w:styleId="CommentTextChar">
    <w:name w:val="Comment Text Char"/>
    <w:basedOn w:val="DefaultParagraphFont"/>
    <w:link w:val="CommentText"/>
    <w:uiPriority w:val="99"/>
    <w:semiHidden/>
    <w:rsid w:val="00BA5469"/>
    <w:rPr>
      <w:lang w:eastAsia="en-US"/>
    </w:rPr>
  </w:style>
  <w:style w:type="paragraph" w:styleId="CommentSubject">
    <w:name w:val="annotation subject"/>
    <w:basedOn w:val="CommentText"/>
    <w:next w:val="CommentText"/>
    <w:link w:val="CommentSubjectChar"/>
    <w:uiPriority w:val="99"/>
    <w:semiHidden/>
    <w:unhideWhenUsed/>
    <w:rsid w:val="00BA5469"/>
    <w:rPr>
      <w:b/>
      <w:bCs/>
    </w:rPr>
  </w:style>
  <w:style w:type="character" w:customStyle="1" w:styleId="CommentSubjectChar">
    <w:name w:val="Comment Subject Char"/>
    <w:basedOn w:val="CommentTextChar"/>
    <w:link w:val="CommentSubject"/>
    <w:uiPriority w:val="99"/>
    <w:semiHidden/>
    <w:rsid w:val="00BA5469"/>
    <w:rPr>
      <w:b/>
      <w:bCs/>
      <w:lang w:eastAsia="en-US"/>
    </w:rPr>
  </w:style>
  <w:style w:type="paragraph" w:styleId="Revision">
    <w:name w:val="Revision"/>
    <w:hidden/>
    <w:uiPriority w:val="99"/>
    <w:semiHidden/>
    <w:rsid w:val="0080059D"/>
    <w:rPr>
      <w:sz w:val="22"/>
      <w:szCs w:val="22"/>
      <w:lang w:eastAsia="en-US"/>
    </w:rPr>
  </w:style>
  <w:style w:type="character" w:customStyle="1" w:styleId="ListParagraphChar">
    <w:name w:val="List Paragraph Char"/>
    <w:basedOn w:val="DefaultParagraphFont"/>
    <w:link w:val="ListParagraph"/>
    <w:uiPriority w:val="34"/>
    <w:locked/>
    <w:rsid w:val="007F1CA7"/>
    <w:rPr>
      <w:sz w:val="22"/>
      <w:szCs w:val="22"/>
      <w:lang w:eastAsia="en-US"/>
    </w:rPr>
  </w:style>
  <w:style w:type="paragraph" w:customStyle="1" w:styleId="Default">
    <w:name w:val="Default"/>
    <w:rsid w:val="00D92C1C"/>
    <w:pPr>
      <w:autoSpaceDE w:val="0"/>
      <w:autoSpaceDN w:val="0"/>
      <w:adjustRightInd w:val="0"/>
    </w:pPr>
    <w:rPr>
      <w:rFonts w:cs="Arial"/>
      <w:color w:val="000000"/>
      <w:sz w:val="24"/>
      <w:szCs w:val="24"/>
    </w:rPr>
  </w:style>
  <w:style w:type="paragraph" w:customStyle="1" w:styleId="Pa6">
    <w:name w:val="Pa6"/>
    <w:basedOn w:val="Default"/>
    <w:next w:val="Default"/>
    <w:uiPriority w:val="99"/>
    <w:rsid w:val="00D92C1C"/>
    <w:pPr>
      <w:spacing w:line="201" w:lineRule="atLeast"/>
    </w:pPr>
    <w:rPr>
      <w:color w:val="auto"/>
    </w:rPr>
  </w:style>
  <w:style w:type="character" w:styleId="FollowedHyperlink">
    <w:name w:val="FollowedHyperlink"/>
    <w:basedOn w:val="DefaultParagraphFont"/>
    <w:uiPriority w:val="99"/>
    <w:semiHidden/>
    <w:unhideWhenUsed/>
    <w:rsid w:val="005E3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27141">
      <w:bodyDiv w:val="1"/>
      <w:marLeft w:val="0"/>
      <w:marRight w:val="0"/>
      <w:marTop w:val="0"/>
      <w:marBottom w:val="0"/>
      <w:divBdr>
        <w:top w:val="none" w:sz="0" w:space="0" w:color="auto"/>
        <w:left w:val="none" w:sz="0" w:space="0" w:color="auto"/>
        <w:bottom w:val="none" w:sz="0" w:space="0" w:color="auto"/>
        <w:right w:val="none" w:sz="0" w:space="0" w:color="auto"/>
      </w:divBdr>
    </w:div>
    <w:div w:id="707140524">
      <w:bodyDiv w:val="1"/>
      <w:marLeft w:val="0"/>
      <w:marRight w:val="0"/>
      <w:marTop w:val="0"/>
      <w:marBottom w:val="0"/>
      <w:divBdr>
        <w:top w:val="none" w:sz="0" w:space="0" w:color="auto"/>
        <w:left w:val="none" w:sz="0" w:space="0" w:color="auto"/>
        <w:bottom w:val="none" w:sz="0" w:space="0" w:color="auto"/>
        <w:right w:val="none" w:sz="0" w:space="0" w:color="auto"/>
      </w:divBdr>
      <w:divsChild>
        <w:div w:id="1626041533">
          <w:marLeft w:val="0"/>
          <w:marRight w:val="0"/>
          <w:marTop w:val="0"/>
          <w:marBottom w:val="0"/>
          <w:divBdr>
            <w:top w:val="none" w:sz="0" w:space="0" w:color="auto"/>
            <w:left w:val="none" w:sz="0" w:space="0" w:color="auto"/>
            <w:bottom w:val="none" w:sz="0" w:space="0" w:color="auto"/>
            <w:right w:val="none" w:sz="0" w:space="0" w:color="auto"/>
          </w:divBdr>
          <w:divsChild>
            <w:div w:id="1800293621">
              <w:marLeft w:val="0"/>
              <w:marRight w:val="0"/>
              <w:marTop w:val="0"/>
              <w:marBottom w:val="0"/>
              <w:divBdr>
                <w:top w:val="none" w:sz="0" w:space="0" w:color="auto"/>
                <w:left w:val="none" w:sz="0" w:space="0" w:color="auto"/>
                <w:bottom w:val="none" w:sz="0" w:space="0" w:color="auto"/>
                <w:right w:val="none" w:sz="0" w:space="0" w:color="auto"/>
              </w:divBdr>
              <w:divsChild>
                <w:div w:id="1995138365">
                  <w:marLeft w:val="0"/>
                  <w:marRight w:val="0"/>
                  <w:marTop w:val="0"/>
                  <w:marBottom w:val="0"/>
                  <w:divBdr>
                    <w:top w:val="none" w:sz="0" w:space="0" w:color="auto"/>
                    <w:left w:val="none" w:sz="0" w:space="0" w:color="auto"/>
                    <w:bottom w:val="none" w:sz="0" w:space="0" w:color="auto"/>
                    <w:right w:val="none" w:sz="0" w:space="0" w:color="auto"/>
                  </w:divBdr>
                  <w:divsChild>
                    <w:div w:id="1033916741">
                      <w:marLeft w:val="150"/>
                      <w:marRight w:val="150"/>
                      <w:marTop w:val="0"/>
                      <w:marBottom w:val="0"/>
                      <w:divBdr>
                        <w:top w:val="none" w:sz="0" w:space="0" w:color="auto"/>
                        <w:left w:val="none" w:sz="0" w:space="0" w:color="auto"/>
                        <w:bottom w:val="none" w:sz="0" w:space="0" w:color="auto"/>
                        <w:right w:val="none" w:sz="0" w:space="0" w:color="auto"/>
                      </w:divBdr>
                      <w:divsChild>
                        <w:div w:id="31269058">
                          <w:marLeft w:val="0"/>
                          <w:marRight w:val="0"/>
                          <w:marTop w:val="0"/>
                          <w:marBottom w:val="0"/>
                          <w:divBdr>
                            <w:top w:val="none" w:sz="0" w:space="0" w:color="auto"/>
                            <w:left w:val="none" w:sz="0" w:space="0" w:color="auto"/>
                            <w:bottom w:val="none" w:sz="0" w:space="0" w:color="auto"/>
                            <w:right w:val="none" w:sz="0" w:space="0" w:color="auto"/>
                          </w:divBdr>
                          <w:divsChild>
                            <w:div w:id="2060081895">
                              <w:marLeft w:val="0"/>
                              <w:marRight w:val="0"/>
                              <w:marTop w:val="0"/>
                              <w:marBottom w:val="240"/>
                              <w:divBdr>
                                <w:top w:val="none" w:sz="0" w:space="0" w:color="auto"/>
                                <w:left w:val="none" w:sz="0" w:space="0" w:color="auto"/>
                                <w:bottom w:val="none" w:sz="0" w:space="0" w:color="auto"/>
                                <w:right w:val="none" w:sz="0" w:space="0" w:color="auto"/>
                              </w:divBdr>
                              <w:divsChild>
                                <w:div w:id="376011401">
                                  <w:marLeft w:val="0"/>
                                  <w:marRight w:val="0"/>
                                  <w:marTop w:val="0"/>
                                  <w:marBottom w:val="0"/>
                                  <w:divBdr>
                                    <w:top w:val="none" w:sz="0" w:space="0" w:color="auto"/>
                                    <w:left w:val="none" w:sz="0" w:space="0" w:color="auto"/>
                                    <w:bottom w:val="none" w:sz="0" w:space="0" w:color="auto"/>
                                    <w:right w:val="none" w:sz="0" w:space="0" w:color="auto"/>
                                  </w:divBdr>
                                  <w:divsChild>
                                    <w:div w:id="523860381">
                                      <w:marLeft w:val="0"/>
                                      <w:marRight w:val="0"/>
                                      <w:marTop w:val="0"/>
                                      <w:marBottom w:val="0"/>
                                      <w:divBdr>
                                        <w:top w:val="none" w:sz="0" w:space="0" w:color="auto"/>
                                        <w:left w:val="none" w:sz="0" w:space="0" w:color="auto"/>
                                        <w:bottom w:val="none" w:sz="0" w:space="0" w:color="auto"/>
                                        <w:right w:val="none" w:sz="0" w:space="0" w:color="auto"/>
                                      </w:divBdr>
                                      <w:divsChild>
                                        <w:div w:id="1628702277">
                                          <w:marLeft w:val="0"/>
                                          <w:marRight w:val="0"/>
                                          <w:marTop w:val="0"/>
                                          <w:marBottom w:val="0"/>
                                          <w:divBdr>
                                            <w:top w:val="none" w:sz="0" w:space="0" w:color="auto"/>
                                            <w:left w:val="none" w:sz="0" w:space="0" w:color="auto"/>
                                            <w:bottom w:val="none" w:sz="0" w:space="0" w:color="auto"/>
                                            <w:right w:val="none" w:sz="0" w:space="0" w:color="auto"/>
                                          </w:divBdr>
                                          <w:divsChild>
                                            <w:div w:id="1406486649">
                                              <w:marLeft w:val="0"/>
                                              <w:marRight w:val="0"/>
                                              <w:marTop w:val="0"/>
                                              <w:marBottom w:val="0"/>
                                              <w:divBdr>
                                                <w:top w:val="none" w:sz="0" w:space="0" w:color="auto"/>
                                                <w:left w:val="none" w:sz="0" w:space="0" w:color="auto"/>
                                                <w:bottom w:val="none" w:sz="0" w:space="0" w:color="auto"/>
                                                <w:right w:val="none" w:sz="0" w:space="0" w:color="auto"/>
                                              </w:divBdr>
                                              <w:divsChild>
                                                <w:div w:id="1053115772">
                                                  <w:marLeft w:val="0"/>
                                                  <w:marRight w:val="0"/>
                                                  <w:marTop w:val="0"/>
                                                  <w:marBottom w:val="0"/>
                                                  <w:divBdr>
                                                    <w:top w:val="none" w:sz="0" w:space="0" w:color="auto"/>
                                                    <w:left w:val="none" w:sz="0" w:space="0" w:color="auto"/>
                                                    <w:bottom w:val="none" w:sz="0" w:space="0" w:color="auto"/>
                                                    <w:right w:val="none" w:sz="0" w:space="0" w:color="auto"/>
                                                  </w:divBdr>
                                                  <w:divsChild>
                                                    <w:div w:id="2075004527">
                                                      <w:marLeft w:val="0"/>
                                                      <w:marRight w:val="0"/>
                                                      <w:marTop w:val="0"/>
                                                      <w:marBottom w:val="0"/>
                                                      <w:divBdr>
                                                        <w:top w:val="none" w:sz="0" w:space="0" w:color="auto"/>
                                                        <w:left w:val="none" w:sz="0" w:space="0" w:color="auto"/>
                                                        <w:bottom w:val="none" w:sz="0" w:space="0" w:color="auto"/>
                                                        <w:right w:val="none" w:sz="0" w:space="0" w:color="auto"/>
                                                      </w:divBdr>
                                                      <w:divsChild>
                                                        <w:div w:id="394351098">
                                                          <w:marLeft w:val="0"/>
                                                          <w:marRight w:val="0"/>
                                                          <w:marTop w:val="0"/>
                                                          <w:marBottom w:val="0"/>
                                                          <w:divBdr>
                                                            <w:top w:val="none" w:sz="0" w:space="0" w:color="auto"/>
                                                            <w:left w:val="none" w:sz="0" w:space="0" w:color="auto"/>
                                                            <w:bottom w:val="none" w:sz="0" w:space="0" w:color="auto"/>
                                                            <w:right w:val="none" w:sz="0" w:space="0" w:color="auto"/>
                                                          </w:divBdr>
                                                          <w:divsChild>
                                                            <w:div w:id="20252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386">
                                                      <w:marLeft w:val="0"/>
                                                      <w:marRight w:val="0"/>
                                                      <w:marTop w:val="0"/>
                                                      <w:marBottom w:val="0"/>
                                                      <w:divBdr>
                                                        <w:top w:val="none" w:sz="0" w:space="0" w:color="auto"/>
                                                        <w:left w:val="none" w:sz="0" w:space="0" w:color="auto"/>
                                                        <w:bottom w:val="none" w:sz="0" w:space="0" w:color="auto"/>
                                                        <w:right w:val="none" w:sz="0" w:space="0" w:color="auto"/>
                                                      </w:divBdr>
                                                      <w:divsChild>
                                                        <w:div w:id="15620173">
                                                          <w:marLeft w:val="0"/>
                                                          <w:marRight w:val="0"/>
                                                          <w:marTop w:val="0"/>
                                                          <w:marBottom w:val="0"/>
                                                          <w:divBdr>
                                                            <w:top w:val="none" w:sz="0" w:space="0" w:color="auto"/>
                                                            <w:left w:val="none" w:sz="0" w:space="0" w:color="auto"/>
                                                            <w:bottom w:val="none" w:sz="0" w:space="0" w:color="auto"/>
                                                            <w:right w:val="none" w:sz="0" w:space="0" w:color="auto"/>
                                                          </w:divBdr>
                                                          <w:divsChild>
                                                            <w:div w:id="12628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4483409">
      <w:bodyDiv w:val="1"/>
      <w:marLeft w:val="0"/>
      <w:marRight w:val="0"/>
      <w:marTop w:val="0"/>
      <w:marBottom w:val="0"/>
      <w:divBdr>
        <w:top w:val="none" w:sz="0" w:space="0" w:color="auto"/>
        <w:left w:val="none" w:sz="0" w:space="0" w:color="auto"/>
        <w:bottom w:val="none" w:sz="0" w:space="0" w:color="auto"/>
        <w:right w:val="none" w:sz="0" w:space="0" w:color="auto"/>
      </w:divBdr>
    </w:div>
    <w:div w:id="1487896067">
      <w:bodyDiv w:val="1"/>
      <w:marLeft w:val="0"/>
      <w:marRight w:val="0"/>
      <w:marTop w:val="0"/>
      <w:marBottom w:val="0"/>
      <w:divBdr>
        <w:top w:val="none" w:sz="0" w:space="0" w:color="auto"/>
        <w:left w:val="none" w:sz="0" w:space="0" w:color="auto"/>
        <w:bottom w:val="none" w:sz="0" w:space="0" w:color="auto"/>
        <w:right w:val="none" w:sz="0" w:space="0" w:color="auto"/>
      </w:divBdr>
    </w:div>
    <w:div w:id="1508639732">
      <w:bodyDiv w:val="1"/>
      <w:marLeft w:val="0"/>
      <w:marRight w:val="0"/>
      <w:marTop w:val="0"/>
      <w:marBottom w:val="0"/>
      <w:divBdr>
        <w:top w:val="none" w:sz="0" w:space="0" w:color="auto"/>
        <w:left w:val="none" w:sz="0" w:space="0" w:color="auto"/>
        <w:bottom w:val="none" w:sz="0" w:space="0" w:color="auto"/>
        <w:right w:val="none" w:sz="0" w:space="0" w:color="auto"/>
      </w:divBdr>
      <w:divsChild>
        <w:div w:id="1418945722">
          <w:marLeft w:val="0"/>
          <w:marRight w:val="0"/>
          <w:marTop w:val="0"/>
          <w:marBottom w:val="0"/>
          <w:divBdr>
            <w:top w:val="none" w:sz="0" w:space="0" w:color="auto"/>
            <w:left w:val="none" w:sz="0" w:space="0" w:color="auto"/>
            <w:bottom w:val="none" w:sz="0" w:space="0" w:color="auto"/>
            <w:right w:val="none" w:sz="0" w:space="0" w:color="auto"/>
          </w:divBdr>
          <w:divsChild>
            <w:div w:id="1688680087">
              <w:marLeft w:val="0"/>
              <w:marRight w:val="0"/>
              <w:marTop w:val="0"/>
              <w:marBottom w:val="0"/>
              <w:divBdr>
                <w:top w:val="none" w:sz="0" w:space="0" w:color="auto"/>
                <w:left w:val="none" w:sz="0" w:space="0" w:color="auto"/>
                <w:bottom w:val="none" w:sz="0" w:space="0" w:color="auto"/>
                <w:right w:val="none" w:sz="0" w:space="0" w:color="auto"/>
              </w:divBdr>
              <w:divsChild>
                <w:div w:id="173686164">
                  <w:marLeft w:val="0"/>
                  <w:marRight w:val="0"/>
                  <w:marTop w:val="0"/>
                  <w:marBottom w:val="0"/>
                  <w:divBdr>
                    <w:top w:val="none" w:sz="0" w:space="0" w:color="auto"/>
                    <w:left w:val="none" w:sz="0" w:space="0" w:color="auto"/>
                    <w:bottom w:val="none" w:sz="0" w:space="0" w:color="auto"/>
                    <w:right w:val="none" w:sz="0" w:space="0" w:color="auto"/>
                  </w:divBdr>
                  <w:divsChild>
                    <w:div w:id="362747625">
                      <w:marLeft w:val="150"/>
                      <w:marRight w:val="150"/>
                      <w:marTop w:val="0"/>
                      <w:marBottom w:val="0"/>
                      <w:divBdr>
                        <w:top w:val="none" w:sz="0" w:space="0" w:color="auto"/>
                        <w:left w:val="none" w:sz="0" w:space="0" w:color="auto"/>
                        <w:bottom w:val="none" w:sz="0" w:space="0" w:color="auto"/>
                        <w:right w:val="none" w:sz="0" w:space="0" w:color="auto"/>
                      </w:divBdr>
                      <w:divsChild>
                        <w:div w:id="1521549566">
                          <w:marLeft w:val="0"/>
                          <w:marRight w:val="0"/>
                          <w:marTop w:val="0"/>
                          <w:marBottom w:val="0"/>
                          <w:divBdr>
                            <w:top w:val="none" w:sz="0" w:space="0" w:color="auto"/>
                            <w:left w:val="none" w:sz="0" w:space="0" w:color="auto"/>
                            <w:bottom w:val="none" w:sz="0" w:space="0" w:color="auto"/>
                            <w:right w:val="none" w:sz="0" w:space="0" w:color="auto"/>
                          </w:divBdr>
                          <w:divsChild>
                            <w:div w:id="1972200427">
                              <w:marLeft w:val="0"/>
                              <w:marRight w:val="0"/>
                              <w:marTop w:val="0"/>
                              <w:marBottom w:val="240"/>
                              <w:divBdr>
                                <w:top w:val="none" w:sz="0" w:space="0" w:color="auto"/>
                                <w:left w:val="none" w:sz="0" w:space="0" w:color="auto"/>
                                <w:bottom w:val="none" w:sz="0" w:space="0" w:color="auto"/>
                                <w:right w:val="none" w:sz="0" w:space="0" w:color="auto"/>
                              </w:divBdr>
                              <w:divsChild>
                                <w:div w:id="479807479">
                                  <w:marLeft w:val="0"/>
                                  <w:marRight w:val="0"/>
                                  <w:marTop w:val="0"/>
                                  <w:marBottom w:val="0"/>
                                  <w:divBdr>
                                    <w:top w:val="none" w:sz="0" w:space="0" w:color="auto"/>
                                    <w:left w:val="none" w:sz="0" w:space="0" w:color="auto"/>
                                    <w:bottom w:val="none" w:sz="0" w:space="0" w:color="auto"/>
                                    <w:right w:val="none" w:sz="0" w:space="0" w:color="auto"/>
                                  </w:divBdr>
                                  <w:divsChild>
                                    <w:div w:id="1596210578">
                                      <w:marLeft w:val="0"/>
                                      <w:marRight w:val="0"/>
                                      <w:marTop w:val="0"/>
                                      <w:marBottom w:val="0"/>
                                      <w:divBdr>
                                        <w:top w:val="none" w:sz="0" w:space="0" w:color="auto"/>
                                        <w:left w:val="none" w:sz="0" w:space="0" w:color="auto"/>
                                        <w:bottom w:val="none" w:sz="0" w:space="0" w:color="auto"/>
                                        <w:right w:val="none" w:sz="0" w:space="0" w:color="auto"/>
                                      </w:divBdr>
                                      <w:divsChild>
                                        <w:div w:id="2031758398">
                                          <w:marLeft w:val="0"/>
                                          <w:marRight w:val="0"/>
                                          <w:marTop w:val="0"/>
                                          <w:marBottom w:val="0"/>
                                          <w:divBdr>
                                            <w:top w:val="none" w:sz="0" w:space="0" w:color="auto"/>
                                            <w:left w:val="none" w:sz="0" w:space="0" w:color="auto"/>
                                            <w:bottom w:val="none" w:sz="0" w:space="0" w:color="auto"/>
                                            <w:right w:val="none" w:sz="0" w:space="0" w:color="auto"/>
                                          </w:divBdr>
                                          <w:divsChild>
                                            <w:div w:id="1121805088">
                                              <w:marLeft w:val="0"/>
                                              <w:marRight w:val="0"/>
                                              <w:marTop w:val="0"/>
                                              <w:marBottom w:val="0"/>
                                              <w:divBdr>
                                                <w:top w:val="none" w:sz="0" w:space="0" w:color="auto"/>
                                                <w:left w:val="none" w:sz="0" w:space="0" w:color="auto"/>
                                                <w:bottom w:val="none" w:sz="0" w:space="0" w:color="auto"/>
                                                <w:right w:val="none" w:sz="0" w:space="0" w:color="auto"/>
                                              </w:divBdr>
                                              <w:divsChild>
                                                <w:div w:id="1566641081">
                                                  <w:marLeft w:val="0"/>
                                                  <w:marRight w:val="0"/>
                                                  <w:marTop w:val="0"/>
                                                  <w:marBottom w:val="0"/>
                                                  <w:divBdr>
                                                    <w:top w:val="none" w:sz="0" w:space="0" w:color="auto"/>
                                                    <w:left w:val="none" w:sz="0" w:space="0" w:color="auto"/>
                                                    <w:bottom w:val="none" w:sz="0" w:space="0" w:color="auto"/>
                                                    <w:right w:val="none" w:sz="0" w:space="0" w:color="auto"/>
                                                  </w:divBdr>
                                                  <w:divsChild>
                                                    <w:div w:id="1413746448">
                                                      <w:marLeft w:val="0"/>
                                                      <w:marRight w:val="0"/>
                                                      <w:marTop w:val="0"/>
                                                      <w:marBottom w:val="0"/>
                                                      <w:divBdr>
                                                        <w:top w:val="none" w:sz="0" w:space="0" w:color="auto"/>
                                                        <w:left w:val="none" w:sz="0" w:space="0" w:color="auto"/>
                                                        <w:bottom w:val="none" w:sz="0" w:space="0" w:color="auto"/>
                                                        <w:right w:val="none" w:sz="0" w:space="0" w:color="auto"/>
                                                      </w:divBdr>
                                                      <w:divsChild>
                                                        <w:div w:id="48770967">
                                                          <w:marLeft w:val="0"/>
                                                          <w:marRight w:val="0"/>
                                                          <w:marTop w:val="0"/>
                                                          <w:marBottom w:val="0"/>
                                                          <w:divBdr>
                                                            <w:top w:val="none" w:sz="0" w:space="0" w:color="auto"/>
                                                            <w:left w:val="none" w:sz="0" w:space="0" w:color="auto"/>
                                                            <w:bottom w:val="none" w:sz="0" w:space="0" w:color="auto"/>
                                                            <w:right w:val="none" w:sz="0" w:space="0" w:color="auto"/>
                                                          </w:divBdr>
                                                          <w:divsChild>
                                                            <w:div w:id="1721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6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ce.gov.au/resource-management/cost-recover/" TargetMode="External"/><Relationship Id="rId13" Type="http://schemas.openxmlformats.org/officeDocument/2006/relationships/hyperlink" Target="https://www.environment.gov.au/epbc/publications/cost-recovery-implementation-statement-2016-17" TargetMode="External"/><Relationship Id="rId18" Type="http://schemas.openxmlformats.org/officeDocument/2006/relationships/hyperlink" Target="mailto:epbc.referrals@environment.gov.a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environment.protection@environment.gov.au" TargetMode="External"/><Relationship Id="rId7" Type="http://schemas.openxmlformats.org/officeDocument/2006/relationships/image" Target="media/image1.jpeg"/><Relationship Id="rId12" Type="http://schemas.openxmlformats.org/officeDocument/2006/relationships/hyperlink" Target="https://www.environment.gov.au/epbc/publications/cost-recovery-cris" TargetMode="External"/><Relationship Id="rId17" Type="http://schemas.openxmlformats.org/officeDocument/2006/relationships/hyperlink" Target="http://www.environment.gov.au/epbc/what-is-protecte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nvironment.gov.au/epbc/publications/cost-recovery-implementation-statement-2016-17" TargetMode="External"/><Relationship Id="rId20" Type="http://schemas.openxmlformats.org/officeDocument/2006/relationships/hyperlink" Target="http://www.environment.gov.au/resource/environmental-impact-assessment-client-service-chart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vironment.gov.au/epbc/publications/provisional-cost-recovery-cri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mlaw.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omlaw.gov.au" TargetMode="External"/><Relationship Id="rId19" Type="http://schemas.openxmlformats.org/officeDocument/2006/relationships/hyperlink" Target="http://www.environment.gov.au/epbc/compliance-and-enforcement" TargetMode="External"/><Relationship Id="rId4" Type="http://schemas.openxmlformats.org/officeDocument/2006/relationships/webSettings" Target="webSettings.xml"/><Relationship Id="rId9" Type="http://schemas.openxmlformats.org/officeDocument/2006/relationships/hyperlink" Target="https://www.environment.gov.au/epbc/publications/cost-recovery-implementation-statement-2016-17" TargetMode="External"/><Relationship Id="rId14" Type="http://schemas.openxmlformats.org/officeDocument/2006/relationships/hyperlink" Target="http://www.comlaw.gov.au/"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9EF021EA.dotm</Template>
  <TotalTime>0</TotalTime>
  <Pages>7</Pages>
  <Words>2810</Words>
  <Characters>16018</Characters>
  <Application>Microsoft Office Word</Application>
  <DocSecurity>4</DocSecurity>
  <Lines>133</Lines>
  <Paragraphs>37</Paragraphs>
  <ScaleCrop>false</ScaleCrop>
  <LinksUpToDate>false</LinksUpToDate>
  <CharactersWithSpaces>18791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for environmental assessments under the Environment Protection and Biodiversity Conservation Act 1999  - FAQs</dc:title>
  <dc:creator/>
  <cp:lastModifiedBy/>
  <cp:revision>1</cp:revision>
  <dcterms:created xsi:type="dcterms:W3CDTF">2016-09-29T00:02:00Z</dcterms:created>
  <dcterms:modified xsi:type="dcterms:W3CDTF">2016-09-29T00:02:00Z</dcterms:modified>
</cp:coreProperties>
</file>