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72506DC3" w14:textId="3DD6748A" w:rsidR="000139B3" w:rsidRDefault="000139B3" w:rsidP="000139B3">
      <w:pPr>
        <w:pStyle w:val="BodyText"/>
        <w:spacing w:before="0" w:after="40" w:line="276" w:lineRule="auto"/>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xml:space="preserve">, notice is given that </w:t>
      </w:r>
      <w:r w:rsidR="00E1734A" w:rsidRPr="00E1734A">
        <w:rPr>
          <w:rFonts w:ascii="Arial" w:hAnsi="Arial" w:cs="Arial"/>
          <w:sz w:val="22"/>
          <w:szCs w:val="22"/>
        </w:rPr>
        <w:t xml:space="preserve">special Waigani </w:t>
      </w:r>
      <w:r w:rsidR="004E1EE4" w:rsidRPr="00E1734A">
        <w:rPr>
          <w:rFonts w:ascii="Arial" w:hAnsi="Arial" w:cs="Arial"/>
          <w:sz w:val="22"/>
          <w:szCs w:val="22"/>
        </w:rPr>
        <w:t>import</w:t>
      </w:r>
      <w:r w:rsidR="00E1734A" w:rsidRPr="00E1734A">
        <w:rPr>
          <w:rFonts w:ascii="Arial" w:hAnsi="Arial" w:cs="Arial"/>
          <w:sz w:val="22"/>
          <w:szCs w:val="22"/>
        </w:rPr>
        <w:t xml:space="preserve"> </w:t>
      </w:r>
      <w:r w:rsidR="00A268F6">
        <w:rPr>
          <w:rFonts w:ascii="Arial" w:hAnsi="Arial" w:cs="Arial"/>
          <w:sz w:val="22"/>
          <w:szCs w:val="22"/>
        </w:rPr>
        <w:t>permit</w:t>
      </w:r>
      <w:r>
        <w:rPr>
          <w:rFonts w:ascii="Arial" w:hAnsi="Arial" w:cs="Arial"/>
          <w:sz w:val="22"/>
          <w:szCs w:val="22"/>
        </w:rPr>
        <w:t xml:space="preserve"> </w:t>
      </w:r>
      <w:r w:rsidRPr="00E1734A">
        <w:rPr>
          <w:rFonts w:ascii="Arial" w:hAnsi="Arial" w:cs="Arial"/>
          <w:sz w:val="22"/>
          <w:szCs w:val="22"/>
        </w:rPr>
        <w:t>AUH</w:t>
      </w:r>
      <w:r w:rsidR="00E1734A" w:rsidRPr="00E1734A">
        <w:rPr>
          <w:rFonts w:ascii="Arial" w:hAnsi="Arial" w:cs="Arial"/>
          <w:sz w:val="22"/>
          <w:szCs w:val="22"/>
        </w:rPr>
        <w:t>19</w:t>
      </w:r>
      <w:r w:rsidR="00A539F8" w:rsidRPr="00E1734A">
        <w:rPr>
          <w:rFonts w:ascii="Arial" w:hAnsi="Arial" w:cs="Arial"/>
          <w:sz w:val="22"/>
          <w:szCs w:val="22"/>
        </w:rPr>
        <w:t>-</w:t>
      </w:r>
      <w:r w:rsidR="00E1734A" w:rsidRPr="00E1734A">
        <w:rPr>
          <w:rFonts w:ascii="Arial" w:hAnsi="Arial" w:cs="Arial"/>
          <w:sz w:val="22"/>
          <w:szCs w:val="22"/>
        </w:rPr>
        <w:t>01</w:t>
      </w:r>
      <w:r w:rsidR="00D92140">
        <w:rPr>
          <w:rFonts w:ascii="Arial" w:hAnsi="Arial" w:cs="Arial"/>
          <w:sz w:val="22"/>
          <w:szCs w:val="22"/>
        </w:rPr>
        <w:t>4</w:t>
      </w:r>
      <w:r w:rsidR="00A268F6">
        <w:rPr>
          <w:rFonts w:ascii="Arial" w:hAnsi="Arial" w:cs="Arial"/>
          <w:sz w:val="22"/>
          <w:szCs w:val="22"/>
        </w:rPr>
        <w:t xml:space="preserve"> was</w:t>
      </w:r>
      <w:r>
        <w:rPr>
          <w:rFonts w:ascii="Arial" w:hAnsi="Arial" w:cs="Arial"/>
          <w:sz w:val="22"/>
          <w:szCs w:val="22"/>
        </w:rPr>
        <w:t xml:space="preserve"> </w:t>
      </w:r>
      <w:r w:rsidRPr="000139B3">
        <w:rPr>
          <w:rFonts w:ascii="Arial" w:hAnsi="Arial" w:cs="Arial"/>
          <w:sz w:val="22"/>
          <w:szCs w:val="22"/>
        </w:rPr>
        <w:t xml:space="preserve">granted to </w:t>
      </w:r>
      <w:r w:rsidR="00E1734A" w:rsidRPr="00E1734A">
        <w:rPr>
          <w:rFonts w:ascii="Arial" w:hAnsi="Arial" w:cs="Arial"/>
          <w:sz w:val="22"/>
          <w:szCs w:val="22"/>
        </w:rPr>
        <w:t>Total Waste M</w:t>
      </w:r>
      <w:r w:rsidR="00E1734A">
        <w:rPr>
          <w:rFonts w:ascii="Arial" w:hAnsi="Arial" w:cs="Arial"/>
          <w:sz w:val="22"/>
          <w:szCs w:val="22"/>
        </w:rPr>
        <w:t xml:space="preserve">anagement PNG Ltd </w:t>
      </w:r>
      <w:r w:rsidR="00E1734A" w:rsidRPr="00E1734A">
        <w:rPr>
          <w:rFonts w:ascii="Arial" w:hAnsi="Arial" w:cs="Arial"/>
          <w:sz w:val="22"/>
          <w:szCs w:val="22"/>
        </w:rPr>
        <w:t>(PNG Investment Promotion Authority Registration Number 1-80483), PO Box 473, Waigani, National Capital District 131, Papua New Guinea (Telephone: +675 320 3242; Facsimile: +675 320 2688).</w:t>
      </w:r>
    </w:p>
    <w:p w14:paraId="72506DC4" w14:textId="1B1E845E" w:rsidR="000139B3" w:rsidRDefault="00A268F6"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w:t>
      </w:r>
      <w:r w:rsidR="000139B3">
        <w:rPr>
          <w:rFonts w:ascii="Arial" w:hAnsi="Arial" w:cs="Arial"/>
          <w:color w:val="000000"/>
          <w:sz w:val="22"/>
          <w:szCs w:val="22"/>
        </w:rPr>
        <w:t xml:space="preserve"> are as follows:</w:t>
      </w:r>
    </w:p>
    <w:p w14:paraId="67641FC5" w14:textId="77777777" w:rsidR="00481485" w:rsidRPr="004255A0"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t>
      </w:r>
      <w:r w:rsidRPr="00227E1E">
        <w:t>non halogenated organic solvents (Basel Code A3140)</w:t>
      </w:r>
      <w:r w:rsidRPr="004255A0">
        <w:rPr>
          <w:rFonts w:cs="Arial"/>
          <w:szCs w:val="24"/>
          <w:lang w:eastAsia="en-AU"/>
        </w:rPr>
        <w:t xml:space="preserve">; </w:t>
      </w:r>
    </w:p>
    <w:p w14:paraId="0723AC73" w14:textId="77777777" w:rsidR="00481485" w:rsidRPr="004255A0"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25</w:t>
      </w:r>
      <w:r w:rsidRPr="00034C89">
        <w:rPr>
          <w:rFonts w:cs="Arial"/>
          <w:szCs w:val="24"/>
          <w:lang w:eastAsia="en-AU"/>
        </w:rPr>
        <w:t>0,000L</w:t>
      </w:r>
      <w:r w:rsidRPr="004255A0">
        <w:rPr>
          <w:rFonts w:cs="Arial"/>
          <w:szCs w:val="24"/>
          <w:lang w:eastAsia="en-AU"/>
        </w:rPr>
        <w:t xml:space="preserve">; </w:t>
      </w:r>
    </w:p>
    <w:p w14:paraId="7E9B701F" w14:textId="77777777" w:rsidR="00481485" w:rsidRPr="00602F81" w:rsidRDefault="00481485" w:rsidP="00481485">
      <w:pPr>
        <w:pStyle w:val="ListParagraph"/>
        <w:numPr>
          <w:ilvl w:val="0"/>
          <w:numId w:val="2"/>
        </w:numPr>
        <w:autoSpaceDE w:val="0"/>
        <w:autoSpaceDN w:val="0"/>
        <w:adjustRightInd w:val="0"/>
        <w:spacing w:after="0" w:line="240" w:lineRule="auto"/>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waste is to be </w:t>
      </w:r>
      <w:r w:rsidRPr="00034C89">
        <w:rPr>
          <w:rFonts w:cs="Arial"/>
          <w:szCs w:val="24"/>
          <w:lang w:eastAsia="en-AU"/>
        </w:rPr>
        <w:t>contained during import in 1000L IBCs and shrink wrapped 205L drums strapped to heat treated timber pallets. Smaller packages will be contained in drums, with absorbent material used to fill the void spaces to ensure cushioning distances are maintained</w:t>
      </w:r>
      <w:r>
        <w:rPr>
          <w:rFonts w:cs="Arial"/>
          <w:szCs w:val="24"/>
          <w:lang w:eastAsia="en-AU"/>
        </w:rPr>
        <w:t>;</w:t>
      </w:r>
    </w:p>
    <w:p w14:paraId="2C2945E1" w14:textId="00E4AF1B" w:rsidR="00481485" w:rsidRPr="00034C89"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is to be transported by road to the port of export in Port Moresby, shipped by sea to</w:t>
      </w:r>
      <w:r>
        <w:rPr>
          <w:rFonts w:cs="Arial"/>
          <w:szCs w:val="24"/>
          <w:lang w:eastAsia="en-AU"/>
        </w:rPr>
        <w:t xml:space="preserve"> </w:t>
      </w:r>
      <w:r w:rsidRPr="00034C89">
        <w:rPr>
          <w:rFonts w:cs="Arial"/>
          <w:szCs w:val="24"/>
          <w:lang w:eastAsia="en-AU"/>
        </w:rPr>
        <w:t>the port of destination and then transported by road to the disposa</w:t>
      </w:r>
      <w:r w:rsidR="003D75F3">
        <w:rPr>
          <w:rFonts w:cs="Arial"/>
          <w:szCs w:val="24"/>
          <w:lang w:eastAsia="en-AU"/>
        </w:rPr>
        <w:t>l</w:t>
      </w:r>
      <w:r>
        <w:rPr>
          <w:rFonts w:cs="Arial"/>
          <w:szCs w:val="24"/>
          <w:lang w:eastAsia="en-AU"/>
        </w:rPr>
        <w:t xml:space="preserve"> and recovery</w:t>
      </w:r>
      <w:r w:rsidRPr="00034C89">
        <w:rPr>
          <w:rFonts w:cs="Arial"/>
          <w:szCs w:val="24"/>
          <w:lang w:eastAsia="en-AU"/>
        </w:rPr>
        <w:t xml:space="preserve"> facilities;</w:t>
      </w:r>
    </w:p>
    <w:p w14:paraId="466AA2E0" w14:textId="77777777" w:rsidR="00481485" w:rsidRPr="00034C89"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034C89">
        <w:rPr>
          <w:rFonts w:cs="Arial"/>
          <w:szCs w:val="24"/>
          <w:lang w:eastAsia="en-AU"/>
        </w:rPr>
        <w:t>the waste may only be imported during the permit period;</w:t>
      </w:r>
    </w:p>
    <w:p w14:paraId="03F758ED" w14:textId="6A326CC8" w:rsidR="00481485"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B83D6F">
        <w:rPr>
          <w:rFonts w:cs="Arial"/>
          <w:szCs w:val="24"/>
          <w:lang w:eastAsia="en-AU"/>
        </w:rPr>
        <w:t xml:space="preserve">the waste is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the Port </w:t>
      </w:r>
      <w:r w:rsidRPr="0083283D">
        <w:rPr>
          <w:rFonts w:cs="Arial"/>
        </w:rPr>
        <w:t xml:space="preserve">of </w:t>
      </w:r>
      <w:r w:rsidR="00B211FC">
        <w:rPr>
          <w:rFonts w:cs="Arial"/>
        </w:rPr>
        <w:t xml:space="preserve">Port </w:t>
      </w:r>
      <w:r w:rsidRPr="0083283D">
        <w:rPr>
          <w:rFonts w:cs="Arial"/>
        </w:rPr>
        <w:t>Moresby</w:t>
      </w:r>
      <w:r>
        <w:rPr>
          <w:rFonts w:cs="Arial"/>
        </w:rPr>
        <w:t xml:space="preserve"> or Port of </w:t>
      </w:r>
      <w:proofErr w:type="spellStart"/>
      <w:r>
        <w:rPr>
          <w:rFonts w:cs="Arial"/>
        </w:rPr>
        <w:t>Lae</w:t>
      </w:r>
      <w:proofErr w:type="spellEnd"/>
      <w:r>
        <w:rPr>
          <w:rFonts w:cs="Arial"/>
        </w:rPr>
        <w:t xml:space="preserve"> or Port of </w:t>
      </w:r>
      <w:proofErr w:type="spellStart"/>
      <w:r>
        <w:rPr>
          <w:rFonts w:cs="Arial"/>
        </w:rPr>
        <w:t>Lihir</w:t>
      </w:r>
      <w:proofErr w:type="spellEnd"/>
      <w:r w:rsidRPr="0083283D">
        <w:rPr>
          <w:rFonts w:cs="Arial"/>
        </w:rPr>
        <w:t>, Papua New Guinea</w:t>
      </w:r>
      <w:r w:rsidRPr="008F775D">
        <w:rPr>
          <w:rFonts w:cs="Arial"/>
        </w:rPr>
        <w:t xml:space="preserve">, </w:t>
      </w:r>
      <w:r w:rsidR="00A048C3" w:rsidRPr="008F775D">
        <w:rPr>
          <w:rFonts w:cs="Arial"/>
        </w:rPr>
        <w:t xml:space="preserve">and may </w:t>
      </w:r>
      <w:r w:rsidR="008F775D" w:rsidRPr="008F775D">
        <w:rPr>
          <w:rFonts w:cs="Arial"/>
        </w:rPr>
        <w:t xml:space="preserve">only </w:t>
      </w:r>
      <w:r w:rsidR="00A048C3" w:rsidRPr="008F775D">
        <w:rPr>
          <w:rFonts w:cs="Arial"/>
        </w:rPr>
        <w:t>transit</w:t>
      </w:r>
      <w:r w:rsidRPr="008F775D">
        <w:rPr>
          <w:rFonts w:cs="Arial"/>
        </w:rPr>
        <w:t xml:space="preserve"> the following ports and country: </w:t>
      </w:r>
      <w:r w:rsidR="00B211FC">
        <w:rPr>
          <w:rFonts w:cs="Arial"/>
        </w:rPr>
        <w:t xml:space="preserve">Port of </w:t>
      </w:r>
      <w:r w:rsidRPr="008F775D">
        <w:rPr>
          <w:rFonts w:cs="Arial"/>
        </w:rPr>
        <w:t>Honiara or</w:t>
      </w:r>
      <w:r w:rsidRPr="00034C89">
        <w:rPr>
          <w:rFonts w:cs="Arial"/>
          <w:szCs w:val="24"/>
          <w:lang w:eastAsia="en-AU"/>
        </w:rPr>
        <w:t xml:space="preserve"> </w:t>
      </w:r>
      <w:r w:rsidR="00B211FC">
        <w:rPr>
          <w:rFonts w:cs="Arial"/>
          <w:szCs w:val="24"/>
          <w:lang w:eastAsia="en-AU"/>
        </w:rPr>
        <w:t xml:space="preserve">Port of </w:t>
      </w:r>
      <w:r w:rsidRPr="00034C89">
        <w:rPr>
          <w:rFonts w:cs="Arial"/>
          <w:szCs w:val="24"/>
          <w:lang w:eastAsia="en-AU"/>
        </w:rPr>
        <w:t>Nora in the Solomon Islands;</w:t>
      </w:r>
      <w:r w:rsidRPr="00667F92">
        <w:rPr>
          <w:rFonts w:cs="Arial"/>
          <w:szCs w:val="24"/>
          <w:lang w:eastAsia="en-AU"/>
        </w:rPr>
        <w:t xml:space="preserve"> </w:t>
      </w:r>
      <w:proofErr w:type="spellStart"/>
      <w:r>
        <w:rPr>
          <w:rFonts w:cs="Arial"/>
          <w:szCs w:val="24"/>
          <w:lang w:eastAsia="en-AU"/>
        </w:rPr>
        <w:t>enroute</w:t>
      </w:r>
      <w:proofErr w:type="spellEnd"/>
      <w:r>
        <w:rPr>
          <w:rFonts w:cs="Arial"/>
          <w:szCs w:val="24"/>
          <w:lang w:eastAsia="en-AU"/>
        </w:rPr>
        <w:t xml:space="preserve"> to </w:t>
      </w:r>
      <w:r w:rsidRPr="00034C89">
        <w:rPr>
          <w:rFonts w:cs="Arial"/>
          <w:szCs w:val="24"/>
          <w:lang w:eastAsia="en-AU"/>
        </w:rPr>
        <w:t>the Port of Brisbane, Australia</w:t>
      </w:r>
      <w:r w:rsidR="0001435F">
        <w:rPr>
          <w:rFonts w:cs="Arial"/>
          <w:szCs w:val="24"/>
          <w:lang w:eastAsia="en-AU"/>
        </w:rPr>
        <w:t>, no other transit ports are permitted</w:t>
      </w:r>
      <w:r>
        <w:rPr>
          <w:rFonts w:cs="Arial"/>
          <w:szCs w:val="24"/>
          <w:lang w:eastAsia="en-AU"/>
        </w:rPr>
        <w:t>;</w:t>
      </w:r>
    </w:p>
    <w:p w14:paraId="431B1EA4" w14:textId="77777777" w:rsidR="00481485"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7C55B5">
        <w:rPr>
          <w:rFonts w:cs="Arial"/>
          <w:szCs w:val="24"/>
          <w:lang w:eastAsia="en-AU"/>
        </w:rPr>
        <w:t xml:space="preserve">the </w:t>
      </w:r>
      <w:r>
        <w:rPr>
          <w:rFonts w:cs="Arial"/>
          <w:szCs w:val="24"/>
          <w:lang w:eastAsia="en-AU"/>
        </w:rPr>
        <w:t xml:space="preserve">waste will be dealt with by the following disposal and recovery </w:t>
      </w:r>
      <w:r w:rsidRPr="007C55B5">
        <w:rPr>
          <w:rFonts w:cs="Arial"/>
          <w:szCs w:val="24"/>
          <w:lang w:eastAsia="en-AU"/>
        </w:rPr>
        <w:t>operation</w:t>
      </w:r>
      <w:r>
        <w:rPr>
          <w:rFonts w:cs="Arial"/>
          <w:szCs w:val="24"/>
          <w:lang w:eastAsia="en-AU"/>
        </w:rPr>
        <w:t>s:</w:t>
      </w:r>
    </w:p>
    <w:p w14:paraId="0273494E" w14:textId="69BA57F5" w:rsidR="00481485" w:rsidRPr="00B04616"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E13593">
        <w:rPr>
          <w:rFonts w:cs="Arial"/>
          <w:szCs w:val="24"/>
          <w:lang w:eastAsia="en-AU"/>
        </w:rPr>
        <w:t>(</w:t>
      </w:r>
      <w:proofErr w:type="spellStart"/>
      <w:proofErr w:type="gramStart"/>
      <w:r w:rsidRPr="00E13593">
        <w:rPr>
          <w:rFonts w:cs="Arial"/>
          <w:szCs w:val="24"/>
          <w:lang w:eastAsia="en-AU"/>
        </w:rPr>
        <w:t>i</w:t>
      </w:r>
      <w:proofErr w:type="spellEnd"/>
      <w:proofErr w:type="gramEnd"/>
      <w:r w:rsidRPr="00B04616">
        <w:rPr>
          <w:rFonts w:cs="Arial"/>
          <w:szCs w:val="24"/>
          <w:lang w:eastAsia="en-AU"/>
        </w:rPr>
        <w:t xml:space="preserve">) D9 – </w:t>
      </w:r>
      <w:proofErr w:type="spellStart"/>
      <w:r w:rsidRPr="00B04616">
        <w:rPr>
          <w:rFonts w:cs="Arial"/>
          <w:szCs w:val="24"/>
          <w:lang w:eastAsia="en-AU"/>
        </w:rPr>
        <w:t>physico</w:t>
      </w:r>
      <w:proofErr w:type="spellEnd"/>
      <w:r w:rsidRPr="00B04616">
        <w:rPr>
          <w:rFonts w:cs="Arial"/>
          <w:szCs w:val="24"/>
          <w:lang w:eastAsia="en-AU"/>
        </w:rPr>
        <w:t>-chemical treatment not specified elsewhere in Annex IV to the Basel Convention; followed by,</w:t>
      </w:r>
    </w:p>
    <w:p w14:paraId="1BCFF301" w14:textId="77777777" w:rsidR="00481485"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B04616">
        <w:rPr>
          <w:rFonts w:cs="Arial"/>
          <w:szCs w:val="24"/>
          <w:lang w:eastAsia="en-AU"/>
        </w:rPr>
        <w:t xml:space="preserve">(ii) D5 - specifically engineered landfill, (e.g., placement in to lined discrete cells which are capped and isolated from one another and the environment, etc.); </w:t>
      </w:r>
    </w:p>
    <w:p w14:paraId="13AA33A7" w14:textId="77777777" w:rsidR="00481485" w:rsidRPr="00E75A95" w:rsidRDefault="00481485" w:rsidP="00481485">
      <w:pPr>
        <w:pStyle w:val="ListParagraph"/>
        <w:numPr>
          <w:ilvl w:val="0"/>
          <w:numId w:val="0"/>
        </w:numPr>
        <w:autoSpaceDE w:val="0"/>
        <w:autoSpaceDN w:val="0"/>
        <w:adjustRightInd w:val="0"/>
        <w:spacing w:after="0" w:line="240" w:lineRule="auto"/>
        <w:ind w:left="369"/>
        <w:rPr>
          <w:rFonts w:cs="Arial"/>
          <w:szCs w:val="24"/>
          <w:lang w:eastAsia="en-AU"/>
        </w:rPr>
      </w:pPr>
      <w:r w:rsidRPr="00E75A95">
        <w:rPr>
          <w:rFonts w:cs="Arial"/>
          <w:szCs w:val="24"/>
          <w:lang w:eastAsia="en-AU"/>
        </w:rPr>
        <w:t>(iii) R13 – accumulation of material intended for any operation in Annex IV, Section B, to the Basel Convention, followed by,</w:t>
      </w:r>
    </w:p>
    <w:p w14:paraId="038C4053" w14:textId="77777777" w:rsidR="00481485" w:rsidRPr="00E75A95"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E75A95">
        <w:rPr>
          <w:rFonts w:cs="Arial"/>
          <w:szCs w:val="24"/>
          <w:lang w:eastAsia="en-AU"/>
        </w:rPr>
        <w:t>(iv) R1 – use as a fuel (other than in direct incineration) or other means to generate energy</w:t>
      </w:r>
      <w:r>
        <w:rPr>
          <w:rFonts w:cs="Arial"/>
          <w:szCs w:val="24"/>
          <w:lang w:eastAsia="en-AU"/>
        </w:rPr>
        <w:t>;</w:t>
      </w:r>
    </w:p>
    <w:p w14:paraId="368C5B89" w14:textId="77777777" w:rsidR="00481485" w:rsidRDefault="00481485" w:rsidP="00481485">
      <w:pPr>
        <w:pStyle w:val="ListParagraph"/>
        <w:numPr>
          <w:ilvl w:val="0"/>
          <w:numId w:val="2"/>
        </w:numPr>
        <w:autoSpaceDE w:val="0"/>
        <w:autoSpaceDN w:val="0"/>
        <w:adjustRightInd w:val="0"/>
        <w:spacing w:after="0" w:line="240" w:lineRule="auto"/>
        <w:rPr>
          <w:rFonts w:cs="Arial"/>
          <w:szCs w:val="24"/>
          <w:lang w:eastAsia="en-AU"/>
        </w:rPr>
      </w:pPr>
      <w:r w:rsidRPr="009C1C8A">
        <w:rPr>
          <w:rFonts w:cs="Arial"/>
          <w:szCs w:val="24"/>
          <w:lang w:eastAsia="en-AU"/>
        </w:rPr>
        <w:t xml:space="preserve">the waste is to undergo </w:t>
      </w:r>
      <w:r>
        <w:rPr>
          <w:rFonts w:cs="Arial"/>
          <w:szCs w:val="24"/>
          <w:lang w:eastAsia="en-AU"/>
        </w:rPr>
        <w:t xml:space="preserve">the </w:t>
      </w:r>
      <w:r w:rsidRPr="004D0D32">
        <w:rPr>
          <w:rFonts w:cs="Arial"/>
          <w:szCs w:val="24"/>
          <w:lang w:eastAsia="en-AU"/>
        </w:rPr>
        <w:t>disposal</w:t>
      </w:r>
      <w:r>
        <w:rPr>
          <w:rFonts w:cs="Arial"/>
          <w:szCs w:val="24"/>
          <w:lang w:eastAsia="en-AU"/>
        </w:rPr>
        <w:t xml:space="preserve"> and recovery</w:t>
      </w:r>
      <w:r w:rsidRPr="009C1C8A">
        <w:rPr>
          <w:rFonts w:cs="Arial"/>
          <w:szCs w:val="24"/>
          <w:lang w:eastAsia="en-AU"/>
        </w:rPr>
        <w:t xml:space="preserve"> operation</w:t>
      </w:r>
      <w:r>
        <w:rPr>
          <w:rFonts w:cs="Arial"/>
          <w:szCs w:val="24"/>
          <w:lang w:eastAsia="en-AU"/>
        </w:rPr>
        <w:t>s</w:t>
      </w:r>
      <w:r w:rsidRPr="009C1C8A">
        <w:rPr>
          <w:rFonts w:cs="Arial"/>
          <w:szCs w:val="24"/>
          <w:lang w:eastAsia="en-AU"/>
        </w:rPr>
        <w:t xml:space="preserve"> at </w:t>
      </w:r>
      <w:r>
        <w:rPr>
          <w:rFonts w:cs="Arial"/>
          <w:szCs w:val="24"/>
          <w:lang w:eastAsia="en-AU"/>
        </w:rPr>
        <w:t>the following facilities:</w:t>
      </w:r>
    </w:p>
    <w:p w14:paraId="41A07721" w14:textId="77777777" w:rsidR="00481485" w:rsidRPr="004D0D32"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w:t>
      </w:r>
      <w:proofErr w:type="spellStart"/>
      <w:r w:rsidRPr="004D0D32">
        <w:rPr>
          <w:rFonts w:cs="Arial"/>
          <w:szCs w:val="24"/>
          <w:lang w:eastAsia="en-AU"/>
        </w:rPr>
        <w:t>i</w:t>
      </w:r>
      <w:proofErr w:type="spellEnd"/>
      <w:r w:rsidRPr="004D0D32">
        <w:rPr>
          <w:rFonts w:cs="Arial"/>
          <w:szCs w:val="24"/>
          <w:lang w:eastAsia="en-AU"/>
        </w:rPr>
        <w:t xml:space="preserve">) D9 </w:t>
      </w:r>
      <w:r w:rsidRPr="00E75A95">
        <w:rPr>
          <w:rFonts w:cs="Arial"/>
          <w:szCs w:val="24"/>
          <w:lang w:eastAsia="en-AU"/>
        </w:rPr>
        <w:t xml:space="preserve">and R13 </w:t>
      </w:r>
      <w:r w:rsidRPr="004D0D32">
        <w:rPr>
          <w:rFonts w:cs="Arial"/>
          <w:szCs w:val="24"/>
          <w:lang w:eastAsia="en-AU"/>
        </w:rPr>
        <w:t>- at Cleanaway Operations Ltd T/A Nationwide Oil Pty Ltd, 26-32 Potassium Street, Narangba, Queensland; and,</w:t>
      </w:r>
    </w:p>
    <w:p w14:paraId="4406F718" w14:textId="77777777" w:rsidR="00481485"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4D0D32">
        <w:rPr>
          <w:rFonts w:cs="Arial"/>
          <w:szCs w:val="24"/>
          <w:lang w:eastAsia="en-AU"/>
        </w:rPr>
        <w:t>(ii) D5 - at Cleanaway Operations Ltd, Ipswich Landfill, Chum Street and 20 Rhondda Road, New Chum, Queensland</w:t>
      </w:r>
      <w:r>
        <w:rPr>
          <w:rFonts w:cs="Arial"/>
          <w:szCs w:val="24"/>
          <w:lang w:eastAsia="en-AU"/>
        </w:rPr>
        <w:t>;</w:t>
      </w:r>
    </w:p>
    <w:p w14:paraId="5A421FD8" w14:textId="48B81D63" w:rsidR="00481485" w:rsidRDefault="00481485" w:rsidP="00481485">
      <w:pPr>
        <w:pStyle w:val="ListParagraph"/>
        <w:numPr>
          <w:ilvl w:val="0"/>
          <w:numId w:val="0"/>
        </w:numPr>
        <w:autoSpaceDE w:val="0"/>
        <w:autoSpaceDN w:val="0"/>
        <w:adjustRightInd w:val="0"/>
        <w:spacing w:after="0" w:line="240" w:lineRule="auto"/>
        <w:ind w:left="360"/>
        <w:rPr>
          <w:rFonts w:cs="Arial"/>
          <w:szCs w:val="24"/>
          <w:lang w:eastAsia="en-AU"/>
        </w:rPr>
      </w:pPr>
      <w:r w:rsidRPr="004238C9">
        <w:rPr>
          <w:rFonts w:cs="Arial"/>
          <w:szCs w:val="24"/>
          <w:lang w:eastAsia="en-AU"/>
        </w:rPr>
        <w:t xml:space="preserve">(iii) R1 – at </w:t>
      </w:r>
      <w:proofErr w:type="spellStart"/>
      <w:r w:rsidRPr="004238C9">
        <w:rPr>
          <w:rFonts w:cs="Arial"/>
          <w:szCs w:val="24"/>
          <w:lang w:eastAsia="en-AU"/>
        </w:rPr>
        <w:t>Geocycle</w:t>
      </w:r>
      <w:proofErr w:type="spellEnd"/>
      <w:r w:rsidRPr="004238C9">
        <w:rPr>
          <w:rFonts w:cs="Arial"/>
          <w:szCs w:val="24"/>
          <w:lang w:eastAsia="en-AU"/>
        </w:rPr>
        <w:t xml:space="preserve"> Gladstone, Cement Australia (Queensland) Pty Ltd, Cement Australia Part A &amp; Part B </w:t>
      </w:r>
      <w:proofErr w:type="spellStart"/>
      <w:r w:rsidRPr="004238C9">
        <w:rPr>
          <w:rFonts w:cs="Arial"/>
          <w:szCs w:val="24"/>
          <w:lang w:eastAsia="en-AU"/>
        </w:rPr>
        <w:t>Fishermans</w:t>
      </w:r>
      <w:proofErr w:type="spellEnd"/>
      <w:r w:rsidRPr="004238C9">
        <w:rPr>
          <w:rFonts w:cs="Arial"/>
          <w:szCs w:val="24"/>
          <w:lang w:eastAsia="en-AU"/>
        </w:rPr>
        <w:t xml:space="preserve"> L</w:t>
      </w:r>
      <w:r w:rsidR="0092493E">
        <w:rPr>
          <w:rFonts w:cs="Arial"/>
          <w:szCs w:val="24"/>
          <w:lang w:eastAsia="en-AU"/>
        </w:rPr>
        <w:t>anding Road, Yarwun, Queensland.</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404FB3CF" w14:textId="676764F0" w:rsidR="004D199D" w:rsidRDefault="004D199D" w:rsidP="004D199D">
      <w:pPr>
        <w:pStyle w:val="BodyText"/>
        <w:spacing w:before="0" w:after="40" w:line="276" w:lineRule="auto"/>
        <w:jc w:val="left"/>
        <w:rPr>
          <w:rFonts w:ascii="Arial" w:hAnsi="Arial" w:cs="Arial"/>
          <w:sz w:val="22"/>
          <w:szCs w:val="22"/>
        </w:rPr>
      </w:pPr>
      <w:r>
        <w:rPr>
          <w:rFonts w:ascii="Arial" w:hAnsi="Arial" w:cs="Arial"/>
          <w:sz w:val="22"/>
          <w:szCs w:val="22"/>
        </w:rPr>
        <w:t xml:space="preserve">The permit period is from </w:t>
      </w:r>
      <w:r w:rsidR="00EB22EF" w:rsidRPr="009E5442">
        <w:rPr>
          <w:rFonts w:ascii="Arial" w:hAnsi="Arial" w:cs="Arial"/>
          <w:sz w:val="22"/>
          <w:szCs w:val="22"/>
        </w:rPr>
        <w:t xml:space="preserve">the date below </w:t>
      </w:r>
      <w:r w:rsidR="00EB22EF">
        <w:rPr>
          <w:rFonts w:ascii="Arial" w:hAnsi="Arial" w:cs="Arial"/>
          <w:sz w:val="22"/>
          <w:szCs w:val="22"/>
        </w:rPr>
        <w:t xml:space="preserve">until the permit expiry date of </w:t>
      </w:r>
      <w:r w:rsidR="00EB22EF" w:rsidRPr="00195900">
        <w:rPr>
          <w:rFonts w:ascii="Arial" w:hAnsi="Arial" w:cs="Arial"/>
          <w:sz w:val="22"/>
          <w:szCs w:val="22"/>
        </w:rPr>
        <w:t xml:space="preserve">16 </w:t>
      </w:r>
      <w:r w:rsidR="00EB22EF">
        <w:rPr>
          <w:rFonts w:ascii="Arial" w:hAnsi="Arial" w:cs="Arial"/>
          <w:sz w:val="22"/>
          <w:szCs w:val="22"/>
        </w:rPr>
        <w:t xml:space="preserve">June 2020. </w:t>
      </w:r>
      <w:r>
        <w:rPr>
          <w:rFonts w:ascii="Arial" w:hAnsi="Arial" w:cs="Arial"/>
          <w:sz w:val="22"/>
          <w:szCs w:val="22"/>
        </w:rPr>
        <w:t xml:space="preserve">All transboundary movements must be completed by the permit expiry date. </w:t>
      </w:r>
    </w:p>
    <w:p w14:paraId="5D4DFD77" w14:textId="77777777" w:rsidR="004D199D" w:rsidRDefault="004D199D" w:rsidP="004D199D">
      <w:pPr>
        <w:pStyle w:val="BodyText"/>
        <w:spacing w:before="0" w:after="40" w:line="276" w:lineRule="auto"/>
        <w:jc w:val="left"/>
        <w:rPr>
          <w:rFonts w:ascii="Arial" w:hAnsi="Arial" w:cs="Arial"/>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67B4AB9A" w14:textId="77777777" w:rsidR="00CF646A" w:rsidRDefault="00CF646A" w:rsidP="00A539F8">
      <w:pPr>
        <w:spacing w:after="0"/>
        <w:jc w:val="center"/>
        <w:rPr>
          <w:rFonts w:ascii="Arial" w:hAnsi="Arial" w:cs="Arial"/>
        </w:rPr>
      </w:pPr>
      <w:r>
        <w:rPr>
          <w:rFonts w:ascii="Arial" w:hAnsi="Arial" w:cs="Arial"/>
        </w:rPr>
        <w:t xml:space="preserve">Anthony McGregor </w:t>
      </w:r>
    </w:p>
    <w:p w14:paraId="72506DC9" w14:textId="19282C08" w:rsidR="000139B3" w:rsidRDefault="000139B3" w:rsidP="00A539F8">
      <w:pPr>
        <w:spacing w:after="0"/>
        <w:jc w:val="center"/>
        <w:rPr>
          <w:rFonts w:ascii="Arial" w:hAnsi="Arial" w:cs="Arial"/>
        </w:rPr>
      </w:pPr>
      <w:r>
        <w:rPr>
          <w:rFonts w:ascii="Arial" w:hAnsi="Arial" w:cs="Arial"/>
        </w:rPr>
        <w:t>Delegate of the Minister</w:t>
      </w:r>
    </w:p>
    <w:p w14:paraId="72506DCA" w14:textId="77777777" w:rsidR="000139B3" w:rsidRDefault="000139B3" w:rsidP="00A539F8">
      <w:pPr>
        <w:pStyle w:val="Footer"/>
        <w:spacing w:line="276" w:lineRule="auto"/>
        <w:jc w:val="center"/>
        <w:rPr>
          <w:rFonts w:ascii="Arial" w:hAnsi="Arial" w:cs="Arial"/>
        </w:rPr>
      </w:pPr>
      <w:r>
        <w:rPr>
          <w:rFonts w:ascii="Arial" w:hAnsi="Arial" w:cs="Arial"/>
        </w:rPr>
        <w:t>Assistant Secretary</w:t>
      </w:r>
    </w:p>
    <w:p w14:paraId="72506DCB" w14:textId="284FC039"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3500D4">
        <w:rPr>
          <w:rFonts w:ascii="Arial" w:hAnsi="Arial" w:cs="Arial"/>
        </w:rPr>
        <w:t xml:space="preserve">Management </w:t>
      </w:r>
      <w:r>
        <w:rPr>
          <w:rFonts w:ascii="Arial" w:hAnsi="Arial" w:cs="Arial"/>
        </w:rPr>
        <w:t>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5AA2249A" w:rsidR="000139B3" w:rsidRPr="00C57A72" w:rsidRDefault="00B20311" w:rsidP="00A539F8">
      <w:pPr>
        <w:pStyle w:val="BodyText"/>
        <w:pBdr>
          <w:bottom w:val="single" w:sz="4" w:space="1" w:color="auto"/>
        </w:pBdr>
        <w:spacing w:before="0" w:line="276" w:lineRule="auto"/>
        <w:ind w:right="65"/>
        <w:jc w:val="center"/>
        <w:rPr>
          <w:rFonts w:ascii="Arial" w:eastAsiaTheme="minorHAnsi" w:hAnsi="Arial" w:cs="Arial"/>
          <w:sz w:val="22"/>
          <w:szCs w:val="22"/>
        </w:rPr>
      </w:pPr>
      <w:r>
        <w:rPr>
          <w:rFonts w:ascii="Arial" w:eastAsiaTheme="minorHAnsi" w:hAnsi="Arial" w:cs="Arial"/>
          <w:sz w:val="22"/>
          <w:szCs w:val="22"/>
        </w:rPr>
        <w:t xml:space="preserve">25 </w:t>
      </w:r>
      <w:r w:rsidR="00C57A72" w:rsidRPr="00C57A72">
        <w:rPr>
          <w:rFonts w:ascii="Arial" w:eastAsiaTheme="minorHAnsi" w:hAnsi="Arial" w:cs="Arial"/>
          <w:sz w:val="22"/>
          <w:szCs w:val="22"/>
        </w:rPr>
        <w:t xml:space="preserve">July </w:t>
      </w:r>
      <w:r w:rsidR="008A0A77" w:rsidRPr="00C57A72">
        <w:rPr>
          <w:rFonts w:ascii="Arial" w:eastAsiaTheme="minorHAnsi" w:hAnsi="Arial" w:cs="Arial"/>
          <w:sz w:val="22"/>
          <w:szCs w:val="22"/>
        </w:rPr>
        <w:t>2019</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lastRenderedPageBreak/>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DA03344"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w:t>
      </w:r>
      <w:r w:rsidR="000A7CC1">
        <w:rPr>
          <w:rFonts w:ascii="Arial" w:hAnsi="Arial" w:cs="Arial"/>
          <w:sz w:val="16"/>
          <w:szCs w:val="16"/>
        </w:rPr>
        <w:t xml:space="preserve"> Chemicals Management and</w:t>
      </w:r>
      <w:r>
        <w:rPr>
          <w:rFonts w:ascii="Arial" w:hAnsi="Arial" w:cs="Arial"/>
          <w:sz w:val="16"/>
          <w:szCs w:val="16"/>
        </w:rPr>
        <w:t xml:space="preserve">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A3085D" w14:textId="77777777" w:rsidR="003E4AE6" w:rsidRDefault="003E4AE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1B35C5" w14:textId="77777777" w:rsidR="003E4AE6" w:rsidRDefault="003E4AE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A3864F" w14:textId="77777777" w:rsidR="003E4AE6" w:rsidRDefault="003E4A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A1132" w14:textId="77777777" w:rsidR="003E4AE6" w:rsidRDefault="003E4A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E8EBC0" w14:textId="77777777" w:rsidR="003E4AE6" w:rsidRDefault="003E4AE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7D3353AC"/>
    <w:multiLevelType w:val="hybridMultilevel"/>
    <w:tmpl w:val="6C5C9D34"/>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forms" w:enforcement="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1435F"/>
    <w:rsid w:val="00082248"/>
    <w:rsid w:val="0008235A"/>
    <w:rsid w:val="000A7CC1"/>
    <w:rsid w:val="000C4A62"/>
    <w:rsid w:val="000E1F2B"/>
    <w:rsid w:val="000F2B68"/>
    <w:rsid w:val="000F7C8D"/>
    <w:rsid w:val="001C2AAD"/>
    <w:rsid w:val="001C77C2"/>
    <w:rsid w:val="001C7F8C"/>
    <w:rsid w:val="001F6E54"/>
    <w:rsid w:val="00252DBB"/>
    <w:rsid w:val="00280BCD"/>
    <w:rsid w:val="002868CD"/>
    <w:rsid w:val="002B7973"/>
    <w:rsid w:val="002E0BE9"/>
    <w:rsid w:val="003500D4"/>
    <w:rsid w:val="003769A5"/>
    <w:rsid w:val="003A707F"/>
    <w:rsid w:val="003B0EC1"/>
    <w:rsid w:val="003B573B"/>
    <w:rsid w:val="003D75F3"/>
    <w:rsid w:val="003E4AE6"/>
    <w:rsid w:val="003F2CBD"/>
    <w:rsid w:val="00424B97"/>
    <w:rsid w:val="00481485"/>
    <w:rsid w:val="00493471"/>
    <w:rsid w:val="004B2753"/>
    <w:rsid w:val="004D199D"/>
    <w:rsid w:val="004E1EE4"/>
    <w:rsid w:val="00515145"/>
    <w:rsid w:val="00520873"/>
    <w:rsid w:val="00536033"/>
    <w:rsid w:val="00542024"/>
    <w:rsid w:val="00566019"/>
    <w:rsid w:val="00573D44"/>
    <w:rsid w:val="005B1825"/>
    <w:rsid w:val="00600082"/>
    <w:rsid w:val="006A1553"/>
    <w:rsid w:val="007C363F"/>
    <w:rsid w:val="00840A06"/>
    <w:rsid w:val="008439B7"/>
    <w:rsid w:val="00852B5E"/>
    <w:rsid w:val="0086387B"/>
    <w:rsid w:val="0087253F"/>
    <w:rsid w:val="00880FD8"/>
    <w:rsid w:val="008A0A77"/>
    <w:rsid w:val="008A23F6"/>
    <w:rsid w:val="008E4F6C"/>
    <w:rsid w:val="008F775D"/>
    <w:rsid w:val="0090638D"/>
    <w:rsid w:val="0092493E"/>
    <w:rsid w:val="009539C7"/>
    <w:rsid w:val="009C3CB9"/>
    <w:rsid w:val="00A00F21"/>
    <w:rsid w:val="00A048C3"/>
    <w:rsid w:val="00A268F6"/>
    <w:rsid w:val="00A539F8"/>
    <w:rsid w:val="00A973BE"/>
    <w:rsid w:val="00AF11DA"/>
    <w:rsid w:val="00B00F22"/>
    <w:rsid w:val="00B20311"/>
    <w:rsid w:val="00B211FC"/>
    <w:rsid w:val="00B43E5C"/>
    <w:rsid w:val="00B84226"/>
    <w:rsid w:val="00BE44D8"/>
    <w:rsid w:val="00C233B8"/>
    <w:rsid w:val="00C57A72"/>
    <w:rsid w:val="00C63C4E"/>
    <w:rsid w:val="00C72C30"/>
    <w:rsid w:val="00CE32C9"/>
    <w:rsid w:val="00CF646A"/>
    <w:rsid w:val="00D229E5"/>
    <w:rsid w:val="00D77A88"/>
    <w:rsid w:val="00D92140"/>
    <w:rsid w:val="00E1734A"/>
    <w:rsid w:val="00E62B89"/>
    <w:rsid w:val="00EB22EF"/>
    <w:rsid w:val="00EC7CEF"/>
    <w:rsid w:val="00F40885"/>
    <w:rsid w:val="00F667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72506DC1"/>
  <w15:docId w15:val="{E2D3A1A9-4CB3-40A0-B0FB-072836058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qFormat/>
    <w:rsid w:val="008A23F6"/>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 w:id="762919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C6BD0C-FDDF-4808-A396-E1735D53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8961A978.dotm</Template>
  <TotalTime>1</TotalTime>
  <Pages>2</Pages>
  <Words>664</Words>
  <Characters>3444</Characters>
  <Application>Microsoft Office Word</Application>
  <DocSecurity>0</DocSecurity>
  <Lines>61</Lines>
  <Paragraphs>40</Paragraphs>
  <ScaleCrop>false</ScaleCrop>
  <HeadingPairs>
    <vt:vector size="2" baseType="variant">
      <vt:variant>
        <vt:lpstr>Title</vt:lpstr>
      </vt:variant>
      <vt:variant>
        <vt:i4>1</vt:i4>
      </vt:variant>
    </vt:vector>
  </HeadingPairs>
  <TitlesOfParts>
    <vt:vector size="1" baseType="lpstr">
      <vt:lpstr>AUH19-014 Decision Permit Granted</vt:lpstr>
    </vt:vector>
  </TitlesOfParts>
  <Company/>
  <LinksUpToDate>false</LinksUpToDate>
  <CharactersWithSpaces>4068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AUH19-014 Decision Permit Granted</dc:title>
  <dc:creator>Department of the Environment and Energy</dc:creator>
  <cp:lastModifiedBy>Katrina Spinaze</cp:lastModifiedBy>
  <cp:revision>4</cp:revision>
  <dcterms:created xsi:type="dcterms:W3CDTF">2019-08-01T03:28:00Z</dcterms:created>
  <dcterms:modified xsi:type="dcterms:W3CDTF">2019-08-01T03:33:00Z</dcterms:modified>
</cp:coreProperties>
</file>