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6C1FC" w14:textId="1AF04018" w:rsidR="00D20755" w:rsidRDefault="00750A49">
      <w:pPr>
        <w:spacing w:before="8" w:after="194"/>
        <w:ind w:left="3456" w:right="3858"/>
        <w:textAlignment w:val="baseline"/>
      </w:pPr>
      <w:r w:rsidRPr="00627387">
        <w:rPr>
          <w:noProof/>
        </w:rPr>
        <w:drawing>
          <wp:anchor distT="0" distB="0" distL="114300" distR="114300" simplePos="0" relativeHeight="251656704" behindDoc="0" locked="0" layoutInCell="1" allowOverlap="1" wp14:anchorId="0DD789A6" wp14:editId="06A1DE7B">
            <wp:simplePos x="0" y="0"/>
            <wp:positionH relativeFrom="margin">
              <wp:align>center</wp:align>
            </wp:positionH>
            <wp:positionV relativeFrom="paragraph">
              <wp:posOffset>235080</wp:posOffset>
            </wp:positionV>
            <wp:extent cx="2113426" cy="894945"/>
            <wp:effectExtent l="0" t="0" r="0" b="0"/>
            <wp:wrapTopAndBottom/>
            <wp:docPr id="9404366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36695"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18955"/>
                    <a:stretch>
                      <a:fillRect/>
                    </a:stretch>
                  </pic:blipFill>
                  <pic:spPr bwMode="auto">
                    <a:xfrm>
                      <a:off x="0" y="0"/>
                      <a:ext cx="2113426" cy="894945"/>
                    </a:xfrm>
                    <a:prstGeom prst="rect">
                      <a:avLst/>
                    </a:prstGeom>
                    <a:noFill/>
                    <a:ln>
                      <a:noFill/>
                    </a:ln>
                    <a:extLst>
                      <a:ext uri="{53640926-AAD7-44D8-BBD7-CCE9431645EC}">
                        <a14:shadowObscured xmlns:a14="http://schemas.microsoft.com/office/drawing/2010/main"/>
                      </a:ext>
                    </a:extLst>
                  </pic:spPr>
                </pic:pic>
              </a:graphicData>
            </a:graphic>
          </wp:anchor>
        </w:drawing>
      </w:r>
    </w:p>
    <w:p w14:paraId="539C8F4D" w14:textId="77777777" w:rsidR="00D20755" w:rsidRDefault="00536AA2">
      <w:pPr>
        <w:spacing w:line="262" w:lineRule="exact"/>
        <w:jc w:val="center"/>
        <w:textAlignment w:val="baseline"/>
        <w:rPr>
          <w:rFonts w:eastAsia="Times New Roman"/>
          <w:b/>
          <w:color w:val="000000"/>
          <w:spacing w:val="18"/>
          <w:sz w:val="23"/>
        </w:rPr>
      </w:pPr>
      <w:r>
        <w:rPr>
          <w:rFonts w:eastAsia="Times New Roman"/>
          <w:b/>
          <w:color w:val="000000"/>
          <w:spacing w:val="18"/>
          <w:sz w:val="23"/>
        </w:rPr>
        <w:t>Commonwealth of Australia</w:t>
      </w:r>
    </w:p>
    <w:p w14:paraId="38326400" w14:textId="77777777" w:rsidR="00D20755" w:rsidRDefault="00536AA2">
      <w:pPr>
        <w:spacing w:before="447" w:line="264" w:lineRule="exact"/>
        <w:jc w:val="center"/>
        <w:textAlignment w:val="baseline"/>
        <w:rPr>
          <w:rFonts w:eastAsia="Times New Roman"/>
          <w:b/>
          <w:i/>
          <w:color w:val="000000"/>
          <w:sz w:val="23"/>
        </w:rPr>
      </w:pPr>
      <w:r>
        <w:rPr>
          <w:rFonts w:eastAsia="Times New Roman"/>
          <w:b/>
          <w:i/>
          <w:color w:val="000000"/>
          <w:sz w:val="23"/>
        </w:rPr>
        <w:t>Exemption under section 158 of the</w:t>
      </w:r>
    </w:p>
    <w:p w14:paraId="0033247A" w14:textId="77777777" w:rsidR="00D20755" w:rsidRDefault="00536AA2">
      <w:pPr>
        <w:spacing w:before="42" w:line="264" w:lineRule="exact"/>
        <w:jc w:val="center"/>
        <w:textAlignment w:val="baseline"/>
        <w:rPr>
          <w:rFonts w:eastAsia="Times New Roman"/>
          <w:b/>
          <w:i/>
          <w:color w:val="000000"/>
          <w:sz w:val="23"/>
        </w:rPr>
      </w:pPr>
      <w:r>
        <w:rPr>
          <w:rFonts w:eastAsia="Times New Roman"/>
          <w:b/>
          <w:i/>
          <w:color w:val="000000"/>
          <w:sz w:val="23"/>
        </w:rPr>
        <w:t>Environment Protection and Biodiversity Conservation Act 1999 (Cth)</w:t>
      </w:r>
    </w:p>
    <w:p w14:paraId="450B12F1" w14:textId="77777777" w:rsidR="00D20755" w:rsidRDefault="00536AA2">
      <w:pPr>
        <w:spacing w:before="192" w:line="304" w:lineRule="exact"/>
        <w:textAlignment w:val="baseline"/>
        <w:rPr>
          <w:rFonts w:eastAsia="Times New Roman"/>
          <w:color w:val="000000"/>
          <w:sz w:val="23"/>
        </w:rPr>
      </w:pPr>
      <w:r>
        <w:rPr>
          <w:rFonts w:eastAsia="Times New Roman"/>
          <w:color w:val="000000"/>
          <w:sz w:val="23"/>
        </w:rPr>
        <w:t xml:space="preserve">I, Murray Watt, Minister for the Environment and Water, acting under section 158 of the </w:t>
      </w:r>
      <w:r>
        <w:rPr>
          <w:rFonts w:eastAsia="Times New Roman"/>
          <w:i/>
          <w:color w:val="000000"/>
          <w:sz w:val="23"/>
        </w:rPr>
        <w:t xml:space="preserve">Environment Protection and Biodiversity Conservation Act 1999 </w:t>
      </w:r>
      <w:r>
        <w:rPr>
          <w:rFonts w:eastAsia="Times New Roman"/>
          <w:color w:val="000000"/>
          <w:sz w:val="23"/>
        </w:rPr>
        <w:t>(Cth) (EPBC Act) and being satisfied that it is in the national interest to do so, exempt Alcoa, and any persons acting on behalf of Alcoa, from the application of all of the provisions of Part 3 of Chapter 2 and Parts 7 through 9 of Chapter 4 of the EPBC Act, in relation to the following action:</w:t>
      </w:r>
    </w:p>
    <w:p w14:paraId="54E2915A" w14:textId="77777777" w:rsidR="00D20755" w:rsidRDefault="00536AA2">
      <w:pPr>
        <w:spacing w:before="197" w:line="304" w:lineRule="exact"/>
        <w:ind w:left="720"/>
        <w:textAlignment w:val="baseline"/>
        <w:rPr>
          <w:rFonts w:eastAsia="Times New Roman"/>
          <w:b/>
          <w:color w:val="000000"/>
          <w:sz w:val="23"/>
        </w:rPr>
      </w:pPr>
      <w:r>
        <w:rPr>
          <w:rFonts w:eastAsia="Times New Roman"/>
          <w:b/>
          <w:color w:val="000000"/>
          <w:sz w:val="23"/>
        </w:rPr>
        <w:t xml:space="preserve">Clearance of up to </w:t>
      </w:r>
      <w:r>
        <w:rPr>
          <w:rFonts w:eastAsia="Times New Roman"/>
          <w:color w:val="000000"/>
          <w:sz w:val="23"/>
        </w:rPr>
        <w:t xml:space="preserve">1200 hectares of vegetation associated with Alcoa's mining operations at Huntly and Willowdale within the areas marked blue at Attachment A on </w:t>
      </w:r>
      <w:r>
        <w:rPr>
          <w:rFonts w:eastAsia="Times New Roman"/>
          <w:b/>
          <w:color w:val="000000"/>
          <w:sz w:val="23"/>
        </w:rPr>
        <w:t xml:space="preserve">ML1SA to </w:t>
      </w:r>
      <w:r>
        <w:rPr>
          <w:rFonts w:eastAsia="Times New Roman"/>
          <w:color w:val="000000"/>
          <w:sz w:val="23"/>
        </w:rPr>
        <w:t xml:space="preserve">the extent necessary to maintain </w:t>
      </w:r>
      <w:r>
        <w:rPr>
          <w:rFonts w:eastAsia="Times New Roman"/>
          <w:b/>
          <w:color w:val="000000"/>
          <w:sz w:val="23"/>
        </w:rPr>
        <w:t xml:space="preserve">critical bauxite supply </w:t>
      </w:r>
      <w:r>
        <w:rPr>
          <w:rFonts w:eastAsia="Times New Roman"/>
          <w:color w:val="000000"/>
          <w:sz w:val="23"/>
        </w:rPr>
        <w:t>to Alcoa's two alumina refineries located in Pinjarra and Wagerup for a period of 18 months from the date of this notice.</w:t>
      </w:r>
    </w:p>
    <w:p w14:paraId="12EEFDD8" w14:textId="77777777" w:rsidR="00D20755" w:rsidRDefault="00536AA2">
      <w:pPr>
        <w:spacing w:before="231" w:line="263" w:lineRule="exact"/>
        <w:textAlignment w:val="baseline"/>
        <w:rPr>
          <w:rFonts w:eastAsia="Times New Roman"/>
          <w:color w:val="000000"/>
          <w:sz w:val="23"/>
        </w:rPr>
      </w:pPr>
      <w:r>
        <w:rPr>
          <w:rFonts w:eastAsia="Times New Roman"/>
          <w:color w:val="000000"/>
          <w:sz w:val="23"/>
        </w:rPr>
        <w:t>In this notice:</w:t>
      </w:r>
    </w:p>
    <w:p w14:paraId="758CFA44" w14:textId="77777777" w:rsidR="00D20755" w:rsidRDefault="00536AA2">
      <w:pPr>
        <w:spacing w:before="194" w:line="283" w:lineRule="exact"/>
        <w:ind w:left="720" w:right="1296"/>
        <w:textAlignment w:val="baseline"/>
        <w:rPr>
          <w:rFonts w:eastAsia="Times New Roman"/>
          <w:color w:val="000000"/>
          <w:sz w:val="23"/>
        </w:rPr>
      </w:pPr>
      <w:r>
        <w:rPr>
          <w:rFonts w:eastAsia="Times New Roman"/>
          <w:color w:val="000000"/>
          <w:sz w:val="23"/>
        </w:rPr>
        <w:t>Alcoa means the Australian public company Alcoa of Australia Limited (ABN: 93004879298)</w:t>
      </w:r>
    </w:p>
    <w:p w14:paraId="3C6A08C0" w14:textId="77777777" w:rsidR="00D20755" w:rsidRDefault="00536AA2">
      <w:pPr>
        <w:spacing w:before="206" w:line="266" w:lineRule="exact"/>
        <w:ind w:left="720"/>
        <w:textAlignment w:val="baseline"/>
        <w:rPr>
          <w:rFonts w:eastAsia="Times New Roman"/>
          <w:b/>
          <w:color w:val="000000"/>
          <w:spacing w:val="-7"/>
          <w:sz w:val="23"/>
        </w:rPr>
      </w:pPr>
      <w:r>
        <w:rPr>
          <w:rFonts w:eastAsia="Times New Roman"/>
          <w:b/>
          <w:color w:val="000000"/>
          <w:spacing w:val="-7"/>
          <w:sz w:val="23"/>
        </w:rPr>
        <w:t xml:space="preserve">Clearance </w:t>
      </w:r>
      <w:r>
        <w:rPr>
          <w:rFonts w:eastAsia="Times New Roman"/>
          <w:color w:val="000000"/>
          <w:spacing w:val="-7"/>
          <w:sz w:val="23"/>
        </w:rPr>
        <w:t>means the killing, destruction or removal of vegetation</w:t>
      </w:r>
    </w:p>
    <w:p w14:paraId="4ADE85F1" w14:textId="77777777" w:rsidR="00D20755" w:rsidRDefault="00536AA2">
      <w:pPr>
        <w:spacing w:before="187" w:line="281" w:lineRule="exact"/>
        <w:ind w:left="720" w:right="216"/>
        <w:textAlignment w:val="baseline"/>
        <w:rPr>
          <w:rFonts w:eastAsia="Times New Roman"/>
          <w:b/>
          <w:color w:val="000000"/>
          <w:sz w:val="23"/>
        </w:rPr>
      </w:pPr>
      <w:r>
        <w:rPr>
          <w:rFonts w:eastAsia="Times New Roman"/>
          <w:b/>
          <w:color w:val="000000"/>
          <w:sz w:val="23"/>
        </w:rPr>
        <w:t xml:space="preserve">Critical bauxite supply </w:t>
      </w:r>
      <w:r>
        <w:rPr>
          <w:rFonts w:eastAsia="Times New Roman"/>
          <w:color w:val="000000"/>
          <w:sz w:val="23"/>
        </w:rPr>
        <w:t>means the minimum supply of bauxite needed to maintain refining operations</w:t>
      </w:r>
    </w:p>
    <w:p w14:paraId="55C5405F" w14:textId="77777777" w:rsidR="00D20755" w:rsidRDefault="00536AA2">
      <w:pPr>
        <w:spacing w:after="651" w:line="478" w:lineRule="exact"/>
        <w:ind w:firstLine="720"/>
        <w:textAlignment w:val="baseline"/>
        <w:rPr>
          <w:rFonts w:eastAsia="Times New Roman"/>
          <w:color w:val="000000"/>
          <w:sz w:val="23"/>
        </w:rPr>
      </w:pPr>
      <w:r>
        <w:rPr>
          <w:rFonts w:eastAsia="Times New Roman"/>
          <w:color w:val="000000"/>
          <w:sz w:val="23"/>
        </w:rPr>
        <w:t xml:space="preserve">ML1SA means the area designated as </w:t>
      </w:r>
      <w:r>
        <w:rPr>
          <w:rFonts w:eastAsia="Times New Roman"/>
          <w:b/>
          <w:color w:val="000000"/>
          <w:sz w:val="23"/>
        </w:rPr>
        <w:t xml:space="preserve">ML1SA </w:t>
      </w:r>
      <w:r>
        <w:rPr>
          <w:rFonts w:eastAsia="Times New Roman"/>
          <w:color w:val="000000"/>
          <w:sz w:val="23"/>
        </w:rPr>
        <w:t xml:space="preserve">at Attachment A </w:t>
      </w:r>
      <w:r>
        <w:rPr>
          <w:rFonts w:eastAsia="Times New Roman"/>
          <w:color w:val="000000"/>
          <w:sz w:val="23"/>
        </w:rPr>
        <w:br/>
        <w:t>This exemption takes effect from the date of this notice.</w:t>
      </w:r>
    </w:p>
    <w:p w14:paraId="0B4363D7" w14:textId="6A589500" w:rsidR="00D20755" w:rsidRDefault="00D20755">
      <w:pPr>
        <w:spacing w:after="113"/>
        <w:ind w:right="2903"/>
        <w:textAlignment w:val="baseline"/>
      </w:pPr>
    </w:p>
    <w:p w14:paraId="3359F517" w14:textId="77777777" w:rsidR="00D20755" w:rsidRDefault="00536AA2">
      <w:pPr>
        <w:spacing w:line="251" w:lineRule="exact"/>
        <w:textAlignment w:val="baseline"/>
        <w:rPr>
          <w:rFonts w:eastAsia="Times New Roman"/>
          <w:color w:val="000000"/>
          <w:sz w:val="23"/>
        </w:rPr>
      </w:pPr>
      <w:r>
        <w:rPr>
          <w:rFonts w:eastAsia="Times New Roman"/>
          <w:color w:val="000000"/>
          <w:sz w:val="23"/>
        </w:rPr>
        <w:t>Minister for the Environment and Water</w:t>
      </w:r>
    </w:p>
    <w:p w14:paraId="1D1C3FDC" w14:textId="77777777" w:rsidR="00D20755" w:rsidRDefault="002450B7">
      <w:pPr>
        <w:spacing w:before="556" w:line="20" w:lineRule="exact"/>
      </w:pPr>
      <w:r>
        <w:pict w14:anchorId="38209CB5">
          <v:shapetype id="_x0000_t202" coordsize="21600,21600" o:spt="202" path="m,l,21600r21600,l21600,xe">
            <v:stroke joinstyle="miter"/>
            <v:path gradientshapeok="t" o:connecttype="rect"/>
          </v:shapetype>
          <v:shape id="_x0000_s0" o:spid="_x0000_s2060" type="#_x0000_t202" style="position:absolute;margin-left:353.05pt;margin-top:602.3pt;width:162.65pt;height:184.6pt;z-index:-251657728;mso-wrap-distance-left:0;mso-wrap-distance-right:0;mso-position-horizontal-relative:page;mso-position-vertical-relative:page" filled="f" stroked="f">
            <v:textbox inset="0,0,0,0">
              <w:txbxContent>
                <w:p w14:paraId="16155904" w14:textId="77777777" w:rsidR="00D20755" w:rsidRDefault="00536AA2">
                  <w:pPr>
                    <w:spacing w:before="724" w:after="2691" w:line="263" w:lineRule="exact"/>
                    <w:ind w:left="1872"/>
                    <w:textAlignment w:val="baseline"/>
                    <w:rPr>
                      <w:rFonts w:eastAsia="Times New Roman"/>
                      <w:color w:val="000000"/>
                      <w:sz w:val="23"/>
                    </w:rPr>
                  </w:pPr>
                  <w:r>
                    <w:rPr>
                      <w:rFonts w:eastAsia="Times New Roman"/>
                      <w:color w:val="000000"/>
                      <w:sz w:val="23"/>
                    </w:rPr>
                    <w:t>2026</w:t>
                  </w:r>
                </w:p>
              </w:txbxContent>
            </v:textbox>
            <w10:wrap type="square" anchorx="page" anchory="page"/>
          </v:shape>
        </w:pict>
      </w:r>
    </w:p>
    <w:tbl>
      <w:tblPr>
        <w:tblW w:w="0" w:type="auto"/>
        <w:tblLayout w:type="fixed"/>
        <w:tblCellMar>
          <w:left w:w="0" w:type="dxa"/>
          <w:right w:w="0" w:type="dxa"/>
        </w:tblCellMar>
        <w:tblLook w:val="04A0" w:firstRow="1" w:lastRow="0" w:firstColumn="1" w:lastColumn="0" w:noHBand="0" w:noVBand="1"/>
      </w:tblPr>
      <w:tblGrid>
        <w:gridCol w:w="984"/>
        <w:gridCol w:w="1617"/>
        <w:gridCol w:w="865"/>
        <w:gridCol w:w="2021"/>
      </w:tblGrid>
      <w:tr w:rsidR="00D20755" w14:paraId="6C275EB0" w14:textId="77777777">
        <w:trPr>
          <w:trHeight w:hRule="exact" w:val="405"/>
        </w:trPr>
        <w:tc>
          <w:tcPr>
            <w:tcW w:w="984" w:type="dxa"/>
            <w:vAlign w:val="center"/>
          </w:tcPr>
          <w:p w14:paraId="5FCA9FDB" w14:textId="77777777" w:rsidR="00D20755" w:rsidRDefault="00536AA2">
            <w:pPr>
              <w:spacing w:before="154" w:line="241" w:lineRule="exact"/>
              <w:jc w:val="center"/>
              <w:textAlignment w:val="baseline"/>
              <w:rPr>
                <w:rFonts w:eastAsia="Times New Roman"/>
                <w:color w:val="000000"/>
                <w:sz w:val="23"/>
              </w:rPr>
            </w:pPr>
            <w:r>
              <w:rPr>
                <w:rFonts w:eastAsia="Times New Roman"/>
                <w:color w:val="000000"/>
                <w:sz w:val="23"/>
              </w:rPr>
              <w:t>Dated the</w:t>
            </w:r>
          </w:p>
        </w:tc>
        <w:tc>
          <w:tcPr>
            <w:tcW w:w="1617" w:type="dxa"/>
            <w:tcBorders>
              <w:bottom w:val="single" w:sz="5" w:space="0" w:color="5B5B5B"/>
            </w:tcBorders>
          </w:tcPr>
          <w:p w14:paraId="7B637297" w14:textId="77777777" w:rsidR="00D20755" w:rsidRDefault="00D20755"/>
        </w:tc>
        <w:tc>
          <w:tcPr>
            <w:tcW w:w="865" w:type="dxa"/>
            <w:vMerge w:val="restart"/>
            <w:vAlign w:val="center"/>
          </w:tcPr>
          <w:p w14:paraId="3130097C" w14:textId="77777777" w:rsidR="00D20755" w:rsidRDefault="00536AA2">
            <w:pPr>
              <w:spacing w:before="152" w:line="258" w:lineRule="exact"/>
              <w:ind w:right="160"/>
              <w:jc w:val="right"/>
              <w:textAlignment w:val="baseline"/>
              <w:rPr>
                <w:rFonts w:eastAsia="Times New Roman"/>
                <w:color w:val="000000"/>
                <w:sz w:val="23"/>
              </w:rPr>
            </w:pPr>
            <w:r>
              <w:rPr>
                <w:rFonts w:eastAsia="Times New Roman"/>
                <w:color w:val="000000"/>
                <w:sz w:val="23"/>
              </w:rPr>
              <w:t>day of</w:t>
            </w:r>
          </w:p>
        </w:tc>
        <w:tc>
          <w:tcPr>
            <w:tcW w:w="2021" w:type="dxa"/>
            <w:vAlign w:val="center"/>
          </w:tcPr>
          <w:p w14:paraId="1AE8B2FD" w14:textId="6359174F" w:rsidR="00D20755" w:rsidRDefault="00D20755">
            <w:pPr>
              <w:spacing w:line="374" w:lineRule="exact"/>
              <w:ind w:right="5"/>
              <w:jc w:val="right"/>
              <w:textAlignment w:val="baseline"/>
              <w:rPr>
                <w:rFonts w:ascii="Garamond" w:eastAsia="Garamond" w:hAnsi="Garamond"/>
                <w:color w:val="0856B4"/>
                <w:sz w:val="33"/>
                <w:u w:val="single"/>
              </w:rPr>
            </w:pPr>
          </w:p>
        </w:tc>
      </w:tr>
      <w:tr w:rsidR="00D20755" w14:paraId="75F757C3" w14:textId="77777777">
        <w:trPr>
          <w:trHeight w:hRule="exact" w:val="11"/>
        </w:trPr>
        <w:tc>
          <w:tcPr>
            <w:tcW w:w="984" w:type="dxa"/>
          </w:tcPr>
          <w:p w14:paraId="3D686A6B" w14:textId="77777777" w:rsidR="00D20755" w:rsidRDefault="00D20755"/>
        </w:tc>
        <w:tc>
          <w:tcPr>
            <w:tcW w:w="1617" w:type="dxa"/>
            <w:tcBorders>
              <w:top w:val="single" w:sz="5" w:space="0" w:color="5B5B5B"/>
            </w:tcBorders>
          </w:tcPr>
          <w:p w14:paraId="69C754AC" w14:textId="77777777" w:rsidR="00D20755" w:rsidRDefault="00D20755"/>
        </w:tc>
        <w:tc>
          <w:tcPr>
            <w:tcW w:w="865" w:type="dxa"/>
            <w:vMerge/>
            <w:vAlign w:val="center"/>
          </w:tcPr>
          <w:p w14:paraId="1F084778" w14:textId="77777777" w:rsidR="00D20755" w:rsidRDefault="00D20755"/>
        </w:tc>
        <w:tc>
          <w:tcPr>
            <w:tcW w:w="2021" w:type="dxa"/>
          </w:tcPr>
          <w:p w14:paraId="1BAA792C" w14:textId="77777777" w:rsidR="00D20755" w:rsidRDefault="00D20755"/>
        </w:tc>
      </w:tr>
    </w:tbl>
    <w:p w14:paraId="2CEEB852" w14:textId="77777777" w:rsidR="00D20755" w:rsidRDefault="00D20755">
      <w:pPr>
        <w:spacing w:after="2680" w:line="20" w:lineRule="exact"/>
      </w:pPr>
    </w:p>
    <w:p w14:paraId="7957FCD5" w14:textId="77777777" w:rsidR="00D20755" w:rsidRDefault="00D20755">
      <w:pPr>
        <w:sectPr w:rsidR="00D20755" w:rsidSect="00CD6766">
          <w:headerReference w:type="even" r:id="rId10"/>
          <w:headerReference w:type="default" r:id="rId11"/>
          <w:footerReference w:type="even" r:id="rId12"/>
          <w:footerReference w:type="first" r:id="rId13"/>
          <w:pgSz w:w="11904" w:h="16834"/>
          <w:pgMar w:top="520" w:right="1590" w:bottom="438" w:left="1574" w:header="720" w:footer="720" w:gutter="0"/>
          <w:cols w:space="720"/>
          <w:titlePg/>
          <w:docGrid w:linePitch="299"/>
        </w:sectPr>
      </w:pPr>
    </w:p>
    <w:p w14:paraId="3F8B76AF" w14:textId="0CFF067F" w:rsidR="00D20755" w:rsidRDefault="00D20755">
      <w:pPr>
        <w:spacing w:before="18" w:after="167"/>
        <w:ind w:left="3403" w:right="3145"/>
        <w:textAlignment w:val="baseline"/>
      </w:pPr>
    </w:p>
    <w:p w14:paraId="277F5B0C" w14:textId="3564E4E0" w:rsidR="00D20755" w:rsidRPr="00750A49" w:rsidRDefault="00750A49" w:rsidP="00750A49">
      <w:pPr>
        <w:spacing w:before="5" w:after="459" w:line="305" w:lineRule="exact"/>
        <w:textAlignment w:val="baseline"/>
        <w:rPr>
          <w:rFonts w:eastAsia="Times New Roman"/>
          <w:bCs/>
          <w:color w:val="000000"/>
          <w:spacing w:val="-1"/>
          <w:sz w:val="27"/>
        </w:rPr>
      </w:pPr>
      <w:r>
        <w:rPr>
          <w:noProof/>
        </w:rPr>
        <w:drawing>
          <wp:anchor distT="0" distB="0" distL="114300" distR="114300" simplePos="0" relativeHeight="251657728" behindDoc="1" locked="0" layoutInCell="1" allowOverlap="1" wp14:anchorId="3575492C" wp14:editId="55D95634">
            <wp:simplePos x="0" y="0"/>
            <wp:positionH relativeFrom="margin">
              <wp:align>center</wp:align>
            </wp:positionH>
            <wp:positionV relativeFrom="paragraph">
              <wp:posOffset>617220</wp:posOffset>
            </wp:positionV>
            <wp:extent cx="4791075" cy="6817360"/>
            <wp:effectExtent l="0" t="0" r="9525" b="2540"/>
            <wp:wrapTight wrapText="bothSides">
              <wp:wrapPolygon edited="0">
                <wp:start x="0" y="0"/>
                <wp:lineTo x="0" y="21548"/>
                <wp:lineTo x="21557" y="21548"/>
                <wp:lineTo x="21557" y="0"/>
                <wp:lineTo x="0" y="0"/>
              </wp:wrapPolygon>
            </wp:wrapTight>
            <wp:docPr id="1544731665" name="Picture 7" descr="A map showing Alcoa’s historic clearing areas, existing EPBC referral areas, proposed strategic assessment boundary and requested areas for exemption within ML1SA. Blue shading marks historical Huntly clearing from 2019 to 2025. Pale purple shading indicates conceptual clearing areas under a requested this exemption. Pink hatching shows the EPBC 2022/09204 existing referral area. A green outline marks the proposed Strategic Assessment Area boundary, and a black outline marks the ML1SA boundary. The map includes roads, waterways, and the coastline on the left, with a legend explaining all symbo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31665" name="Picture 7" descr="A map showing Alcoa’s historic clearing areas, existing EPBC referral areas, proposed strategic assessment boundary and requested areas for exemption within ML1SA. Blue shading marks historical Huntly clearing from 2019 to 2025. Pale purple shading indicates conceptual clearing areas under a requested this exemption. Pink hatching shows the EPBC 2022/09204 existing referral area. A green outline marks the proposed Strategic Assessment Area boundary, and a black outline marks the ML1SA boundary. The map includes roads, waterways, and the coastline on the left, with a legend explaining all symbols.">
                      <a:extLst>
                        <a:ext uri="{C183D7F6-B498-43B3-948B-1728B52AA6E4}">
                          <adec:decorative xmlns:adec="http://schemas.microsoft.com/office/drawing/2017/decorative" val="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1075" cy="6817360"/>
                    </a:xfrm>
                    <a:prstGeom prst="rect">
                      <a:avLst/>
                    </a:prstGeom>
                    <a:noFill/>
                    <a:ln>
                      <a:noFill/>
                    </a:ln>
                  </pic:spPr>
                </pic:pic>
              </a:graphicData>
            </a:graphic>
          </wp:anchor>
        </w:drawing>
      </w:r>
      <w:r>
        <w:rPr>
          <w:rFonts w:eastAsia="Times New Roman"/>
          <w:bCs/>
          <w:color w:val="000000"/>
          <w:spacing w:val="-1"/>
          <w:sz w:val="27"/>
        </w:rPr>
        <w:t xml:space="preserve"> </w:t>
      </w:r>
      <w:r w:rsidRPr="00750A49">
        <w:rPr>
          <w:rFonts w:eastAsia="Times New Roman"/>
          <w:bCs/>
          <w:color w:val="000000"/>
          <w:spacing w:val="-1"/>
          <w:sz w:val="27"/>
        </w:rPr>
        <w:t>Attachment A: The location of </w:t>
      </w:r>
      <w:r w:rsidRPr="00750A49">
        <w:rPr>
          <w:rFonts w:eastAsia="Times New Roman"/>
          <w:b/>
          <w:color w:val="000000"/>
          <w:spacing w:val="-1"/>
          <w:sz w:val="27"/>
        </w:rPr>
        <w:t>Alcoa’s</w:t>
      </w:r>
      <w:r w:rsidRPr="00750A49">
        <w:rPr>
          <w:rFonts w:eastAsia="Times New Roman"/>
          <w:bCs/>
          <w:color w:val="000000"/>
          <w:spacing w:val="-1"/>
          <w:sz w:val="27"/>
        </w:rPr>
        <w:t> mineral lease </w:t>
      </w:r>
      <w:r w:rsidRPr="00750A49">
        <w:rPr>
          <w:rFonts w:eastAsia="Times New Roman"/>
          <w:b/>
          <w:color w:val="000000"/>
          <w:spacing w:val="-1"/>
          <w:sz w:val="27"/>
        </w:rPr>
        <w:t>ML1SA</w:t>
      </w:r>
      <w:r w:rsidRPr="00750A49">
        <w:rPr>
          <w:rFonts w:eastAsia="Times New Roman"/>
          <w:bCs/>
          <w:color w:val="000000"/>
          <w:spacing w:val="-1"/>
          <w:sz w:val="27"/>
        </w:rPr>
        <w:t> and geographic limit of clearing associated with the exemption. </w:t>
      </w:r>
    </w:p>
    <w:p w14:paraId="58A31C19" w14:textId="77777777" w:rsidR="00750A49" w:rsidRPr="00750A49" w:rsidRDefault="00750A49" w:rsidP="00750A49">
      <w:pPr>
        <w:rPr>
          <w:rFonts w:eastAsia="Times New Roman"/>
          <w:sz w:val="27"/>
        </w:rPr>
      </w:pPr>
    </w:p>
    <w:p w14:paraId="4E116894" w14:textId="29DCABA9" w:rsidR="00750A49" w:rsidRPr="00750A49" w:rsidRDefault="00750A49" w:rsidP="00750A49">
      <w:pPr>
        <w:rPr>
          <w:rFonts w:eastAsia="Times New Roman"/>
          <w:sz w:val="27"/>
        </w:rPr>
      </w:pPr>
    </w:p>
    <w:p w14:paraId="68FDEC19" w14:textId="77777777" w:rsidR="00750A49" w:rsidRPr="00750A49" w:rsidRDefault="00750A49" w:rsidP="00750A49">
      <w:pPr>
        <w:rPr>
          <w:rFonts w:eastAsia="Times New Roman"/>
          <w:sz w:val="27"/>
        </w:rPr>
      </w:pPr>
    </w:p>
    <w:p w14:paraId="63221F3B" w14:textId="77777777" w:rsidR="00750A49" w:rsidRPr="00750A49" w:rsidRDefault="00750A49" w:rsidP="00750A49">
      <w:pPr>
        <w:rPr>
          <w:rFonts w:eastAsia="Times New Roman"/>
          <w:sz w:val="27"/>
        </w:rPr>
      </w:pPr>
    </w:p>
    <w:p w14:paraId="09C55DEE" w14:textId="77777777" w:rsidR="00750A49" w:rsidRPr="00750A49" w:rsidRDefault="00750A49" w:rsidP="00750A49">
      <w:pPr>
        <w:rPr>
          <w:rFonts w:eastAsia="Times New Roman"/>
          <w:sz w:val="27"/>
        </w:rPr>
      </w:pPr>
    </w:p>
    <w:sectPr w:rsidR="00750A49" w:rsidRPr="00750A49">
      <w:pgSz w:w="11904" w:h="16834"/>
      <w:pgMar w:top="520" w:right="2298" w:bottom="418" w:left="16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7DBEA" w14:textId="77777777" w:rsidR="0010449E" w:rsidRDefault="0010449E">
      <w:r>
        <w:separator/>
      </w:r>
    </w:p>
  </w:endnote>
  <w:endnote w:type="continuationSeparator" w:id="0">
    <w:p w14:paraId="4675D68E" w14:textId="77777777" w:rsidR="0010449E" w:rsidRDefault="00104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Bookman Old Style">
    <w:charset w:val="00"/>
    <w:pitch w:val="variable"/>
    <w:family w:val="roman"/>
    <w:panose1 w:val="02020603050405020304"/>
  </w:font>
  <w:font w:name="Garamond">
    <w:charset w:val="00"/>
    <w:pitch w:val="variable"/>
    <w:family w:val="swiss"/>
    <w:panose1 w:val="02020603050405020304"/>
  </w:font>
  <w:font w:name="Lucida Console">
    <w:charset w:val="00"/>
    <w:pitch w:val="fixed"/>
    <w:family w:val="modern"/>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8A1D" w14:textId="53A28A61" w:rsidR="00750A49" w:rsidRDefault="00750A49">
    <w:pPr>
      <w:pStyle w:val="Footer"/>
    </w:pPr>
    <w:r>
      <w:rPr>
        <w:noProof/>
      </w:rPr>
      <mc:AlternateContent>
        <mc:Choice Requires="wps">
          <w:drawing>
            <wp:anchor distT="0" distB="0" distL="0" distR="0" simplePos="0" relativeHeight="251658244" behindDoc="0" locked="0" layoutInCell="1" allowOverlap="1" wp14:anchorId="1DA37E30" wp14:editId="7572F68D">
              <wp:simplePos x="635" y="635"/>
              <wp:positionH relativeFrom="page">
                <wp:align>center</wp:align>
              </wp:positionH>
              <wp:positionV relativeFrom="page">
                <wp:align>bottom</wp:align>
              </wp:positionV>
              <wp:extent cx="622300" cy="376555"/>
              <wp:effectExtent l="0" t="0" r="6350" b="0"/>
              <wp:wrapNone/>
              <wp:docPr id="159988719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A65A257" w14:textId="48119A14" w:rsidR="00750A49" w:rsidRPr="00750A49" w:rsidRDefault="00750A49" w:rsidP="00750A49">
                          <w:pPr>
                            <w:rPr>
                              <w:rFonts w:ascii="Aptos" w:eastAsia="Aptos" w:hAnsi="Aptos" w:cs="Aptos"/>
                              <w:noProof/>
                              <w:color w:val="FF0000"/>
                              <w:sz w:val="24"/>
                              <w:szCs w:val="24"/>
                            </w:rPr>
                          </w:pPr>
                          <w:r w:rsidRPr="00750A49">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37E30"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1A65A257" w14:textId="48119A14" w:rsidR="00750A49" w:rsidRPr="00750A49" w:rsidRDefault="00750A49" w:rsidP="00750A49">
                    <w:pPr>
                      <w:rPr>
                        <w:rFonts w:ascii="Aptos" w:eastAsia="Aptos" w:hAnsi="Aptos" w:cs="Aptos"/>
                        <w:noProof/>
                        <w:color w:val="FF0000"/>
                        <w:sz w:val="24"/>
                        <w:szCs w:val="24"/>
                      </w:rPr>
                    </w:pPr>
                    <w:r w:rsidRPr="00750A49">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4A94C" w14:textId="0B9DC28C" w:rsidR="00750A49" w:rsidRDefault="00750A49">
    <w:pPr>
      <w:pStyle w:val="Footer"/>
    </w:pPr>
    <w:r>
      <w:rPr>
        <w:noProof/>
      </w:rPr>
      <mc:AlternateContent>
        <mc:Choice Requires="wps">
          <w:drawing>
            <wp:anchor distT="0" distB="0" distL="0" distR="0" simplePos="0" relativeHeight="251658243" behindDoc="0" locked="0" layoutInCell="1" allowOverlap="1" wp14:anchorId="3E3D2C15" wp14:editId="62A98E11">
              <wp:simplePos x="635" y="635"/>
              <wp:positionH relativeFrom="page">
                <wp:align>center</wp:align>
              </wp:positionH>
              <wp:positionV relativeFrom="page">
                <wp:align>bottom</wp:align>
              </wp:positionV>
              <wp:extent cx="622300" cy="376555"/>
              <wp:effectExtent l="0" t="0" r="6350" b="0"/>
              <wp:wrapNone/>
              <wp:docPr id="205694557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0ABDF6B" w14:textId="1CA6E75C" w:rsidR="00750A49" w:rsidRPr="00750A49" w:rsidRDefault="00750A49" w:rsidP="00750A49">
                          <w:pPr>
                            <w:rPr>
                              <w:rFonts w:ascii="Aptos" w:eastAsia="Aptos" w:hAnsi="Aptos" w:cs="Aptos"/>
                              <w:noProof/>
                              <w:color w:val="FF0000"/>
                              <w:sz w:val="24"/>
                              <w:szCs w:val="24"/>
                            </w:rPr>
                          </w:pPr>
                          <w:r w:rsidRPr="00750A49">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3D2C15" id="_x0000_t202" coordsize="21600,21600" o:spt="202" path="m,l,21600r21600,l21600,xe">
              <v:stroke joinstyle="miter"/>
              <v:path gradientshapeok="t" o:connecttype="rect"/>
            </v:shapetype>
            <v:shape id="Text Box 4" o:spid="_x0000_s1029" type="#_x0000_t202" alt="OFFICIAL" style="position:absolute;margin-left:0;margin-top:0;width:49pt;height:29.6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40ABDF6B" w14:textId="1CA6E75C" w:rsidR="00750A49" w:rsidRPr="00750A49" w:rsidRDefault="00750A49" w:rsidP="00750A49">
                    <w:pPr>
                      <w:rPr>
                        <w:rFonts w:ascii="Aptos" w:eastAsia="Aptos" w:hAnsi="Aptos" w:cs="Aptos"/>
                        <w:noProof/>
                        <w:color w:val="FF0000"/>
                        <w:sz w:val="24"/>
                        <w:szCs w:val="24"/>
                      </w:rPr>
                    </w:pPr>
                    <w:r w:rsidRPr="00750A49">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8EC962" w14:textId="77777777" w:rsidR="0010449E" w:rsidRDefault="0010449E"/>
  </w:footnote>
  <w:footnote w:type="continuationSeparator" w:id="0">
    <w:p w14:paraId="5288C9AD" w14:textId="77777777" w:rsidR="0010449E" w:rsidRDefault="00104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D0452" w14:textId="6D3FEC29" w:rsidR="00750A49" w:rsidRDefault="00750A49">
    <w:pPr>
      <w:pStyle w:val="Header"/>
    </w:pPr>
    <w:r>
      <w:rPr>
        <w:noProof/>
      </w:rPr>
      <mc:AlternateContent>
        <mc:Choice Requires="wps">
          <w:drawing>
            <wp:anchor distT="0" distB="0" distL="0" distR="0" simplePos="0" relativeHeight="251658241" behindDoc="0" locked="0" layoutInCell="1" allowOverlap="1" wp14:anchorId="4853D136" wp14:editId="5F8447A2">
              <wp:simplePos x="635" y="635"/>
              <wp:positionH relativeFrom="page">
                <wp:align>center</wp:align>
              </wp:positionH>
              <wp:positionV relativeFrom="page">
                <wp:align>top</wp:align>
              </wp:positionV>
              <wp:extent cx="622300" cy="376555"/>
              <wp:effectExtent l="0" t="0" r="6350" b="4445"/>
              <wp:wrapNone/>
              <wp:docPr id="125698104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E5B27FE" w14:textId="7A1A1915" w:rsidR="00750A49" w:rsidRPr="00750A49" w:rsidRDefault="00750A49" w:rsidP="00750A49">
                          <w:pPr>
                            <w:rPr>
                              <w:rFonts w:ascii="Aptos" w:eastAsia="Aptos" w:hAnsi="Aptos" w:cs="Aptos"/>
                              <w:noProof/>
                              <w:color w:val="FF0000"/>
                              <w:sz w:val="24"/>
                              <w:szCs w:val="24"/>
                            </w:rPr>
                          </w:pPr>
                          <w:r w:rsidRPr="00750A49">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53D136"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2E5B27FE" w14:textId="7A1A1915" w:rsidR="00750A49" w:rsidRPr="00750A49" w:rsidRDefault="00750A49" w:rsidP="00750A49">
                    <w:pPr>
                      <w:rPr>
                        <w:rFonts w:ascii="Aptos" w:eastAsia="Aptos" w:hAnsi="Aptos" w:cs="Aptos"/>
                        <w:noProof/>
                        <w:color w:val="FF0000"/>
                        <w:sz w:val="24"/>
                        <w:szCs w:val="24"/>
                      </w:rPr>
                    </w:pPr>
                    <w:r w:rsidRPr="00750A49">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14C80" w14:textId="3AB955B1" w:rsidR="00D75B80" w:rsidRPr="00D75B80" w:rsidRDefault="00D75B80" w:rsidP="00D75B80">
    <w:pPr>
      <w:spacing w:line="262" w:lineRule="exact"/>
      <w:jc w:val="center"/>
      <w:textAlignment w:val="baseline"/>
      <w:rPr>
        <w:rFonts w:eastAsia="Times New Roman"/>
        <w:b/>
        <w:color w:val="000000"/>
        <w:spacing w:val="18"/>
        <w:sz w:val="23"/>
      </w:rPr>
    </w:pPr>
    <w:r>
      <w:rPr>
        <w:rFonts w:eastAsia="Times New Roman"/>
        <w:b/>
        <w:color w:val="000000"/>
        <w:spacing w:val="18"/>
        <w:sz w:val="23"/>
      </w:rPr>
      <w:t xml:space="preserve">       Commonwealth of Australia</w:t>
    </w:r>
  </w:p>
  <w:p w14:paraId="13BF89CD" w14:textId="46340B87" w:rsidR="00750A49" w:rsidRDefault="00F66B6F">
    <w:pPr>
      <w:pStyle w:val="Header"/>
    </w:pPr>
    <w:r w:rsidRPr="00627387">
      <w:rPr>
        <w:noProof/>
      </w:rPr>
      <w:drawing>
        <wp:anchor distT="0" distB="0" distL="114300" distR="114300" simplePos="0" relativeHeight="251660292" behindDoc="0" locked="0" layoutInCell="1" allowOverlap="1" wp14:anchorId="1238427D" wp14:editId="0AE0B79B">
          <wp:simplePos x="0" y="0"/>
          <wp:positionH relativeFrom="page">
            <wp:align>center</wp:align>
          </wp:positionH>
          <wp:positionV relativeFrom="page">
            <wp:posOffset>400050</wp:posOffset>
          </wp:positionV>
          <wp:extent cx="1753870" cy="742315"/>
          <wp:effectExtent l="0" t="0" r="0" b="0"/>
          <wp:wrapTopAndBottom/>
          <wp:docPr id="49743547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35478"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b="18955"/>
                  <a:stretch>
                    <a:fillRect/>
                  </a:stretch>
                </pic:blipFill>
                <pic:spPr bwMode="auto">
                  <a:xfrm>
                    <a:off x="0" y="0"/>
                    <a:ext cx="1753870" cy="742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A49">
      <w:rPr>
        <w:noProof/>
      </w:rPr>
      <mc:AlternateContent>
        <mc:Choice Requires="wps">
          <w:drawing>
            <wp:anchor distT="0" distB="0" distL="0" distR="0" simplePos="0" relativeHeight="251658242" behindDoc="0" locked="0" layoutInCell="1" allowOverlap="1" wp14:anchorId="33F3DE08" wp14:editId="0C640066">
              <wp:simplePos x="1001486" y="460310"/>
              <wp:positionH relativeFrom="page">
                <wp:align>center</wp:align>
              </wp:positionH>
              <wp:positionV relativeFrom="page">
                <wp:align>top</wp:align>
              </wp:positionV>
              <wp:extent cx="622300" cy="376555"/>
              <wp:effectExtent l="0" t="0" r="6350" b="4445"/>
              <wp:wrapNone/>
              <wp:docPr id="202363960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78C312A" w14:textId="20B9968E" w:rsidR="00750A49" w:rsidRPr="00750A49" w:rsidRDefault="00750A49" w:rsidP="00750A49">
                          <w:pPr>
                            <w:rPr>
                              <w:rFonts w:ascii="Aptos" w:eastAsia="Aptos" w:hAnsi="Aptos" w:cs="Aptos"/>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F3DE08" id="_x0000_t202" coordsize="21600,21600" o:spt="202" path="m,l,21600r21600,l21600,xe">
              <v:stroke joinstyle="miter"/>
              <v:path gradientshapeok="t" o:connecttype="rect"/>
            </v:shapetype>
            <v:shape id="Text Box 3" o:spid="_x0000_s1027" type="#_x0000_t202" alt="OFFICIAL" style="position:absolute;margin-left:0;margin-top:0;width:49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578C312A" w14:textId="20B9968E" w:rsidR="00750A49" w:rsidRPr="00750A49" w:rsidRDefault="00750A49" w:rsidP="00750A49">
                    <w:pPr>
                      <w:rPr>
                        <w:rFonts w:ascii="Aptos" w:eastAsia="Aptos" w:hAnsi="Aptos" w:cs="Aptos"/>
                        <w:noProof/>
                        <w:color w:val="FF0000"/>
                        <w:sz w:val="24"/>
                        <w:szCs w:val="24"/>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62"/>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755"/>
    <w:rsid w:val="000C3307"/>
    <w:rsid w:val="0010449E"/>
    <w:rsid w:val="001F1341"/>
    <w:rsid w:val="002450B7"/>
    <w:rsid w:val="00286931"/>
    <w:rsid w:val="00351E64"/>
    <w:rsid w:val="003C64B0"/>
    <w:rsid w:val="003C6EF2"/>
    <w:rsid w:val="004D4B7E"/>
    <w:rsid w:val="00536AA2"/>
    <w:rsid w:val="007124C4"/>
    <w:rsid w:val="00750A49"/>
    <w:rsid w:val="00806931"/>
    <w:rsid w:val="0083217B"/>
    <w:rsid w:val="008D796C"/>
    <w:rsid w:val="00985F72"/>
    <w:rsid w:val="00AE6FFB"/>
    <w:rsid w:val="00C215D4"/>
    <w:rsid w:val="00C2658D"/>
    <w:rsid w:val="00CD6766"/>
    <w:rsid w:val="00D20755"/>
    <w:rsid w:val="00D75B80"/>
    <w:rsid w:val="00D95528"/>
    <w:rsid w:val="00E92CEE"/>
    <w:rsid w:val="00EE4CF8"/>
    <w:rsid w:val="00F66B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1D4EA9B"/>
  <w15:docId w15:val="{583C032B-D59D-491D-9B0A-3559D9615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A49"/>
    <w:pPr>
      <w:tabs>
        <w:tab w:val="center" w:pos="4513"/>
        <w:tab w:val="right" w:pos="9026"/>
      </w:tabs>
    </w:pPr>
  </w:style>
  <w:style w:type="character" w:customStyle="1" w:styleId="HeaderChar">
    <w:name w:val="Header Char"/>
    <w:basedOn w:val="DefaultParagraphFont"/>
    <w:link w:val="Header"/>
    <w:uiPriority w:val="99"/>
    <w:rsid w:val="00750A49"/>
  </w:style>
  <w:style w:type="paragraph" w:styleId="Footer">
    <w:name w:val="footer"/>
    <w:basedOn w:val="Normal"/>
    <w:link w:val="FooterChar"/>
    <w:uiPriority w:val="99"/>
    <w:unhideWhenUsed/>
    <w:rsid w:val="00750A49"/>
    <w:pPr>
      <w:tabs>
        <w:tab w:val="center" w:pos="4513"/>
        <w:tab w:val="right" w:pos="9026"/>
      </w:tabs>
    </w:pPr>
  </w:style>
  <w:style w:type="character" w:customStyle="1" w:styleId="FooterChar">
    <w:name w:val="Footer Char"/>
    <w:basedOn w:val="DefaultParagraphFont"/>
    <w:link w:val="Footer"/>
    <w:uiPriority w:val="99"/>
    <w:rsid w:val="00750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fId" Type="http://schemas.openxmlformats.org/wordprocessingml/2006/fontTable" Target="fontTable0.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81c2681-db7b-4a56-9abd-a3238a78f6b2">
      <Terms xmlns="http://schemas.microsoft.com/office/infopath/2007/PartnerControls"/>
    </lcf76f155ced4ddcb4097134ff3c332f>
    <_ip_UnifiedCompliancePolicyUIAction xmlns="http://schemas.microsoft.com/sharepoint/v3" xsi:nil="true"/>
    <TaxCatchAll xmlns="e8238601-ce47-4778-85d0-8b1d6564965a" xsi:nil="true"/>
    <_ip_UnifiedCompliancePolicyProperties xmlns="http://schemas.microsoft.com/sharepoint/v3" xsi:nil="true"/>
    <MediaServiceGenerationTime xmlns="b98728ac-f998-415c-abee-6b046fb1441e" xsi:nil="true"/>
    <MediaServiceDateTaken xmlns="b98728ac-f998-415c-abee-6b046fb1441e" xsi:nil="true"/>
    <MediaServiceOCR xmlns="b98728ac-f998-415c-abee-6b046fb1441e" xsi:nil="true"/>
    <MediaServiceMetadata xmlns="b98728ac-f998-415c-abee-6b046fb1441e" xsi:nil="true"/>
    <MediaServiceFastMetadata xmlns="b98728ac-f998-415c-abee-6b046fb1441e" xsi:nil="true"/>
    <SharedWithUsers xmlns="d869c146-c82e-4435-92e4-da91542262fd">
      <UserInfo>
        <DisplayName/>
        <AccountId xsi:nil="true"/>
        <AccountType/>
      </UserInfo>
    </SharedWithUsers>
    <MediaServiceLocation xmlns="b98728ac-f998-415c-abee-6b046fb1441e" xsi:nil="true"/>
    <SharedWithDetails xmlns="d869c146-c82e-4435-92e4-da91542262fd" xsi:nil="true"/>
    <MediaServiceObjectDetectorVersions xmlns="b98728ac-f998-415c-abee-6b046fb1441e" xsi:nil="true"/>
    <MediaLengthInSeconds xmlns="b98728ac-f998-415c-abee-6b046fb1441e" xsi:nil="true"/>
    <MediaServiceSearchProperties xmlns="b98728ac-f998-415c-abee-6b046fb1441e" xsi:nil="true"/>
    <MediaServiceEventHashCode xmlns="b98728ac-f998-415c-abee-6b046fb1441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A2E4C8-BCF5-48AB-9691-25BF646C52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8728ac-f998-415c-abee-6b046fb1441e"/>
    <ds:schemaRef ds:uri="d869c146-c82e-4435-92e4-da91542262fd"/>
    <ds:schemaRef ds:uri="d81c2681-db7b-4a56-9abd-a3238a78f6b2"/>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05819-09B5-4F0A-B5F9-8AD45FD0A0BD}">
  <ds:schemaRefs>
    <ds:schemaRef ds:uri="http://purl.org/dc/dcmitype/"/>
    <ds:schemaRef ds:uri="b98728ac-f998-415c-abee-6b046fb1441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e8238601-ce47-4778-85d0-8b1d6564965a"/>
    <ds:schemaRef ds:uri="d81c2681-db7b-4a56-9abd-a3238a78f6b2"/>
    <ds:schemaRef ds:uri="d869c146-c82e-4435-92e4-da91542262fd"/>
    <ds:schemaRef ds:uri="http://purl.org/dc/terms/"/>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1B907A2-43CC-40DA-AAD2-3AF7B4B5C633}">
  <ds:schemaRefs>
    <ds:schemaRef ds:uri="http://schemas.microsoft.com/sharepoint/v3/contenttype/forms"/>
  </ds:schemaRefs>
</ds:datastoreItem>
</file>

<file path=docMetadata/LabelInfo.xml><?xml version="1.0" encoding="utf-8"?>
<clbl:labelList xmlns:clbl="http://schemas.microsoft.com/office/2020/mipLabelMetadata">
  <clbl:label id="{2e6ba7ff-9897-4e65-9803-3be34fd9cf5a}"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241</Words>
  <Characters>1248</Characters>
  <Application>Microsoft Office Word</Application>
  <DocSecurity>0</DocSecurity>
  <Lines>42</Lines>
  <Paragraphs>14</Paragraphs>
  <ScaleCrop>false</ScaleCrop>
  <HeadingPairs>
    <vt:vector size="2" baseType="variant">
      <vt:variant>
        <vt:lpstr>Title</vt:lpstr>
      </vt:variant>
      <vt:variant>
        <vt:i4>1</vt:i4>
      </vt:variant>
    </vt:vector>
  </HeadingPairs>
  <TitlesOfParts>
    <vt:vector size="1" baseType="lpstr">
      <vt:lpstr>Exempt under section 158 of the EPBC Act – Alcoa</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Exempt under section 158 of the EPBC Act – Alcoa</dc:title>
  <dc:creator>Commonwealth Government</dc:creator>
  <cp:lastModifiedBy>Louise COWIE</cp:lastModifiedBy>
  <cp:revision>3</cp:revision>
  <dcterms:created xsi:type="dcterms:W3CDTF">2026-02-19T23:38:00Z</dcterms:created>
  <dcterms:modified xsi:type="dcterms:W3CDTF">2026-02-20T00:42:00Z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5573ff29,4aec0231,789e4a39</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7a9a7fab,5f5c5758,dab3d1e</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ContentTypeId">
    <vt:lpwstr>0x010100D001B2BE74D025469E1D0E28F10DD2C8</vt:lpwstr>
  </property>
  <property fmtid="{D5CDD505-2E9C-101B-9397-08002B2CF9AE}" pid="9" name="MediaServiceImageTags">
    <vt:lpwstr/>
  </property>
  <property fmtid="{D5CDD505-2E9C-101B-9397-08002B2CF9AE}" pid="10" name="Record_x0020_Classification">
    <vt:lpwstr/>
  </property>
  <property fmtid="{D5CDD505-2E9C-101B-9397-08002B2CF9AE}" pid="11" name="h64465b6520a47a58f1168c7a3f04764">
    <vt:lpwstr/>
  </property>
  <property fmtid="{D5CDD505-2E9C-101B-9397-08002B2CF9AE}" pid="12" name="Record Classification">
    <vt:lpwstr/>
  </property>
</Properties>
</file>