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2866FBC" w14:textId="77777777" w:rsidR="00483D15" w:rsidRDefault="00483D15">
      <w:pPr>
        <w:pStyle w:val="BodyText"/>
        <w:rPr>
          <w:rFonts w:ascii="Times New Roman"/>
          <w:sz w:val="48"/>
        </w:rPr>
      </w:pPr>
    </w:p>
    <w:p w14:paraId="1A794522" w14:textId="77777777" w:rsidR="00483D15" w:rsidRDefault="00483D15">
      <w:pPr>
        <w:pStyle w:val="BodyText"/>
        <w:rPr>
          <w:rFonts w:ascii="Times New Roman"/>
          <w:sz w:val="48"/>
        </w:rPr>
      </w:pPr>
    </w:p>
    <w:p w14:paraId="395DE7EB" w14:textId="77777777" w:rsidR="00483D15" w:rsidRDefault="00483D15">
      <w:pPr>
        <w:pStyle w:val="BodyText"/>
        <w:rPr>
          <w:rFonts w:ascii="Times New Roman"/>
          <w:sz w:val="48"/>
        </w:rPr>
      </w:pPr>
    </w:p>
    <w:p w14:paraId="6296EF8C" w14:textId="77777777" w:rsidR="00483D15" w:rsidRDefault="00483D15">
      <w:pPr>
        <w:pStyle w:val="BodyText"/>
        <w:spacing w:before="54"/>
        <w:rPr>
          <w:rFonts w:ascii="Times New Roman"/>
          <w:sz w:val="48"/>
        </w:rPr>
      </w:pPr>
    </w:p>
    <w:p w14:paraId="5370AB25" w14:textId="77777777" w:rsidR="00483D15" w:rsidRDefault="00000000">
      <w:pPr>
        <w:pStyle w:val="Title"/>
        <w:spacing w:line="259" w:lineRule="auto"/>
      </w:pPr>
      <w:r>
        <w:rPr>
          <w:color w:val="538DD3"/>
        </w:rPr>
        <w:t>FIVE</w:t>
      </w:r>
      <w:r>
        <w:rPr>
          <w:color w:val="538DD3"/>
          <w:spacing w:val="-9"/>
        </w:rPr>
        <w:t xml:space="preserve"> </w:t>
      </w:r>
      <w:r>
        <w:rPr>
          <w:color w:val="538DD3"/>
        </w:rPr>
        <w:t>YEAR</w:t>
      </w:r>
      <w:r>
        <w:rPr>
          <w:color w:val="538DD3"/>
          <w:spacing w:val="-9"/>
        </w:rPr>
        <w:t xml:space="preserve"> </w:t>
      </w:r>
      <w:r>
        <w:rPr>
          <w:color w:val="538DD3"/>
        </w:rPr>
        <w:t>REVIEW</w:t>
      </w:r>
      <w:r>
        <w:rPr>
          <w:color w:val="538DD3"/>
          <w:spacing w:val="-10"/>
        </w:rPr>
        <w:t xml:space="preserve"> </w:t>
      </w:r>
      <w:r>
        <w:rPr>
          <w:color w:val="538DD3"/>
        </w:rPr>
        <w:t>OF</w:t>
      </w:r>
      <w:r>
        <w:rPr>
          <w:color w:val="538DD3"/>
          <w:spacing w:val="-10"/>
        </w:rPr>
        <w:t xml:space="preserve"> </w:t>
      </w:r>
      <w:r>
        <w:rPr>
          <w:color w:val="538DD3"/>
        </w:rPr>
        <w:t xml:space="preserve">THE BILATERAL AGREEMENT RELATING TO </w:t>
      </w:r>
      <w:r>
        <w:rPr>
          <w:color w:val="538DD3"/>
          <w:spacing w:val="-2"/>
        </w:rPr>
        <w:t>ENVIRONMENTAL ASSESSMENT</w:t>
      </w:r>
    </w:p>
    <w:p w14:paraId="246289C1" w14:textId="77777777" w:rsidR="00483D15" w:rsidRDefault="00483D15">
      <w:pPr>
        <w:pStyle w:val="BodyText"/>
        <w:spacing w:before="355"/>
        <w:rPr>
          <w:rFonts w:ascii="Arial"/>
          <w:b/>
          <w:sz w:val="48"/>
        </w:rPr>
      </w:pPr>
    </w:p>
    <w:p w14:paraId="734B6662" w14:textId="77777777" w:rsidR="00483D15" w:rsidRDefault="00000000">
      <w:pPr>
        <w:ind w:left="2716"/>
        <w:rPr>
          <w:rFonts w:ascii="Arial"/>
          <w:sz w:val="28"/>
        </w:rPr>
      </w:pPr>
      <w:r>
        <w:rPr>
          <w:rFonts w:ascii="Arial"/>
          <w:sz w:val="28"/>
        </w:rPr>
        <w:t>The</w:t>
      </w:r>
      <w:r>
        <w:rPr>
          <w:rFonts w:ascii="Arial"/>
          <w:spacing w:val="-7"/>
          <w:sz w:val="28"/>
        </w:rPr>
        <w:t xml:space="preserve"> </w:t>
      </w:r>
      <w:r>
        <w:rPr>
          <w:rFonts w:ascii="Arial"/>
          <w:sz w:val="28"/>
        </w:rPr>
        <w:t>State</w:t>
      </w:r>
      <w:r>
        <w:rPr>
          <w:rFonts w:ascii="Arial"/>
          <w:spacing w:val="-6"/>
          <w:sz w:val="28"/>
        </w:rPr>
        <w:t xml:space="preserve"> </w:t>
      </w:r>
      <w:r>
        <w:rPr>
          <w:rFonts w:ascii="Arial"/>
          <w:sz w:val="28"/>
        </w:rPr>
        <w:t>of</w:t>
      </w:r>
      <w:r>
        <w:rPr>
          <w:rFonts w:ascii="Arial"/>
          <w:spacing w:val="-6"/>
          <w:sz w:val="28"/>
        </w:rPr>
        <w:t xml:space="preserve"> </w:t>
      </w:r>
      <w:r>
        <w:rPr>
          <w:rFonts w:ascii="Arial"/>
          <w:sz w:val="28"/>
        </w:rPr>
        <w:t>New</w:t>
      </w:r>
      <w:r>
        <w:rPr>
          <w:rFonts w:ascii="Arial"/>
          <w:spacing w:val="-7"/>
          <w:sz w:val="28"/>
        </w:rPr>
        <w:t xml:space="preserve"> </w:t>
      </w:r>
      <w:r>
        <w:rPr>
          <w:rFonts w:ascii="Arial"/>
          <w:sz w:val="28"/>
        </w:rPr>
        <w:t>South</w:t>
      </w:r>
      <w:r>
        <w:rPr>
          <w:rFonts w:ascii="Arial"/>
          <w:spacing w:val="-6"/>
          <w:sz w:val="28"/>
        </w:rPr>
        <w:t xml:space="preserve"> </w:t>
      </w:r>
      <w:r>
        <w:rPr>
          <w:rFonts w:ascii="Arial"/>
          <w:spacing w:val="-4"/>
          <w:sz w:val="28"/>
        </w:rPr>
        <w:t>Wales</w:t>
      </w:r>
    </w:p>
    <w:p w14:paraId="2EA3C36D" w14:textId="77777777" w:rsidR="00483D15" w:rsidRDefault="00000000">
      <w:pPr>
        <w:spacing w:before="81" w:line="237" w:lineRule="auto"/>
        <w:ind w:left="2716" w:right="923"/>
        <w:rPr>
          <w:rFonts w:ascii="Arial"/>
          <w:sz w:val="28"/>
        </w:rPr>
      </w:pPr>
      <w:r>
        <w:rPr>
          <w:rFonts w:ascii="Arial"/>
          <w:sz w:val="28"/>
        </w:rPr>
        <w:t>(The</w:t>
      </w:r>
      <w:r>
        <w:rPr>
          <w:rFonts w:ascii="Arial"/>
          <w:spacing w:val="-7"/>
          <w:sz w:val="28"/>
        </w:rPr>
        <w:t xml:space="preserve"> </w:t>
      </w:r>
      <w:r>
        <w:rPr>
          <w:rFonts w:ascii="Arial"/>
          <w:sz w:val="28"/>
        </w:rPr>
        <w:t>Department</w:t>
      </w:r>
      <w:r>
        <w:rPr>
          <w:rFonts w:ascii="Arial"/>
          <w:spacing w:val="-7"/>
          <w:sz w:val="28"/>
        </w:rPr>
        <w:t xml:space="preserve"> </w:t>
      </w:r>
      <w:r>
        <w:rPr>
          <w:rFonts w:ascii="Arial"/>
          <w:sz w:val="28"/>
        </w:rPr>
        <w:t>of</w:t>
      </w:r>
      <w:r>
        <w:rPr>
          <w:rFonts w:ascii="Arial"/>
          <w:spacing w:val="-7"/>
          <w:sz w:val="28"/>
        </w:rPr>
        <w:t xml:space="preserve"> </w:t>
      </w:r>
      <w:r>
        <w:rPr>
          <w:rFonts w:ascii="Arial"/>
          <w:sz w:val="28"/>
        </w:rPr>
        <w:t>Planning,</w:t>
      </w:r>
      <w:r>
        <w:rPr>
          <w:rFonts w:ascii="Arial"/>
          <w:spacing w:val="-7"/>
          <w:sz w:val="28"/>
        </w:rPr>
        <w:t xml:space="preserve"> </w:t>
      </w:r>
      <w:r>
        <w:rPr>
          <w:rFonts w:ascii="Arial"/>
          <w:sz w:val="28"/>
        </w:rPr>
        <w:t>Industry</w:t>
      </w:r>
      <w:r>
        <w:rPr>
          <w:rFonts w:ascii="Arial"/>
          <w:spacing w:val="-7"/>
          <w:sz w:val="28"/>
        </w:rPr>
        <w:t xml:space="preserve"> </w:t>
      </w:r>
      <w:r>
        <w:rPr>
          <w:rFonts w:ascii="Arial"/>
          <w:sz w:val="28"/>
        </w:rPr>
        <w:t xml:space="preserve">and </w:t>
      </w:r>
      <w:r>
        <w:rPr>
          <w:rFonts w:ascii="Arial"/>
          <w:spacing w:val="-2"/>
          <w:sz w:val="28"/>
        </w:rPr>
        <w:t>Environment)</w:t>
      </w:r>
    </w:p>
    <w:p w14:paraId="5B8CEFF5" w14:textId="77777777" w:rsidR="00483D15" w:rsidRDefault="00483D15">
      <w:pPr>
        <w:pStyle w:val="BodyText"/>
        <w:spacing w:before="165"/>
        <w:rPr>
          <w:rFonts w:ascii="Arial"/>
          <w:sz w:val="28"/>
        </w:rPr>
      </w:pPr>
    </w:p>
    <w:p w14:paraId="48DE6F28" w14:textId="77777777" w:rsidR="00483D15" w:rsidRDefault="00000000">
      <w:pPr>
        <w:ind w:left="2715"/>
        <w:rPr>
          <w:rFonts w:ascii="Arial"/>
          <w:sz w:val="28"/>
        </w:rPr>
      </w:pPr>
      <w:r>
        <w:rPr>
          <w:rFonts w:ascii="Arial"/>
          <w:spacing w:val="-5"/>
          <w:sz w:val="28"/>
        </w:rPr>
        <w:t>and</w:t>
      </w:r>
    </w:p>
    <w:p w14:paraId="185B339D" w14:textId="77777777" w:rsidR="00483D15" w:rsidRDefault="00483D15">
      <w:pPr>
        <w:pStyle w:val="BodyText"/>
        <w:spacing w:before="240"/>
        <w:rPr>
          <w:rFonts w:ascii="Arial"/>
          <w:sz w:val="28"/>
        </w:rPr>
      </w:pPr>
    </w:p>
    <w:p w14:paraId="7DD7DEF4" w14:textId="77777777" w:rsidR="00483D15" w:rsidRDefault="00000000">
      <w:pPr>
        <w:spacing w:before="1"/>
        <w:ind w:left="2715"/>
        <w:rPr>
          <w:rFonts w:ascii="Arial"/>
          <w:sz w:val="28"/>
        </w:rPr>
      </w:pPr>
      <w:r>
        <w:rPr>
          <w:rFonts w:ascii="Arial"/>
          <w:sz w:val="28"/>
        </w:rPr>
        <w:t>Commonwealth</w:t>
      </w:r>
      <w:r>
        <w:rPr>
          <w:rFonts w:ascii="Arial"/>
          <w:spacing w:val="-13"/>
          <w:sz w:val="28"/>
        </w:rPr>
        <w:t xml:space="preserve"> </w:t>
      </w:r>
      <w:r>
        <w:rPr>
          <w:rFonts w:ascii="Arial"/>
          <w:sz w:val="28"/>
        </w:rPr>
        <w:t>of</w:t>
      </w:r>
      <w:r>
        <w:rPr>
          <w:rFonts w:ascii="Arial"/>
          <w:spacing w:val="-13"/>
          <w:sz w:val="28"/>
        </w:rPr>
        <w:t xml:space="preserve"> </w:t>
      </w:r>
      <w:r>
        <w:rPr>
          <w:rFonts w:ascii="Arial"/>
          <w:spacing w:val="-2"/>
          <w:sz w:val="28"/>
        </w:rPr>
        <w:t>Australia</w:t>
      </w:r>
    </w:p>
    <w:p w14:paraId="5D913D6F" w14:textId="77777777" w:rsidR="00483D15" w:rsidRDefault="00000000">
      <w:pPr>
        <w:spacing w:before="72"/>
        <w:ind w:left="2715"/>
        <w:rPr>
          <w:rFonts w:ascii="Arial"/>
          <w:sz w:val="28"/>
        </w:rPr>
      </w:pPr>
      <w:r>
        <w:rPr>
          <w:rFonts w:ascii="Arial"/>
          <w:sz w:val="28"/>
        </w:rPr>
        <w:t>(The</w:t>
      </w:r>
      <w:r>
        <w:rPr>
          <w:rFonts w:ascii="Arial"/>
          <w:spacing w:val="-10"/>
          <w:sz w:val="28"/>
        </w:rPr>
        <w:t xml:space="preserve"> </w:t>
      </w:r>
      <w:r>
        <w:rPr>
          <w:rFonts w:ascii="Arial"/>
          <w:sz w:val="28"/>
        </w:rPr>
        <w:t>Department</w:t>
      </w:r>
      <w:r>
        <w:rPr>
          <w:rFonts w:ascii="Arial"/>
          <w:spacing w:val="-10"/>
          <w:sz w:val="28"/>
        </w:rPr>
        <w:t xml:space="preserve"> </w:t>
      </w:r>
      <w:r>
        <w:rPr>
          <w:rFonts w:ascii="Arial"/>
          <w:sz w:val="28"/>
        </w:rPr>
        <w:t>of</w:t>
      </w:r>
      <w:r>
        <w:rPr>
          <w:rFonts w:ascii="Arial"/>
          <w:spacing w:val="-9"/>
          <w:sz w:val="28"/>
        </w:rPr>
        <w:t xml:space="preserve"> </w:t>
      </w:r>
      <w:r>
        <w:rPr>
          <w:rFonts w:ascii="Arial"/>
          <w:sz w:val="28"/>
        </w:rPr>
        <w:t>Agriculture,</w:t>
      </w:r>
      <w:r>
        <w:rPr>
          <w:rFonts w:ascii="Arial"/>
          <w:spacing w:val="-10"/>
          <w:sz w:val="28"/>
        </w:rPr>
        <w:t xml:space="preserve"> </w:t>
      </w:r>
      <w:r>
        <w:rPr>
          <w:rFonts w:ascii="Arial"/>
          <w:sz w:val="28"/>
        </w:rPr>
        <w:t>Water</w:t>
      </w:r>
      <w:r>
        <w:rPr>
          <w:rFonts w:ascii="Arial"/>
          <w:spacing w:val="-10"/>
          <w:sz w:val="28"/>
        </w:rPr>
        <w:t xml:space="preserve"> </w:t>
      </w:r>
      <w:r>
        <w:rPr>
          <w:rFonts w:ascii="Arial"/>
          <w:sz w:val="28"/>
        </w:rPr>
        <w:t>and</w:t>
      </w:r>
      <w:r>
        <w:rPr>
          <w:rFonts w:ascii="Arial"/>
          <w:spacing w:val="-10"/>
          <w:sz w:val="28"/>
        </w:rPr>
        <w:t xml:space="preserve"> </w:t>
      </w:r>
      <w:r>
        <w:rPr>
          <w:rFonts w:ascii="Arial"/>
          <w:spacing w:val="-2"/>
          <w:sz w:val="28"/>
        </w:rPr>
        <w:t>Energy)</w:t>
      </w:r>
    </w:p>
    <w:p w14:paraId="27EEC2D6" w14:textId="77777777" w:rsidR="00483D15" w:rsidRDefault="00483D15">
      <w:pPr>
        <w:pStyle w:val="BodyText"/>
        <w:rPr>
          <w:rFonts w:ascii="Arial"/>
          <w:sz w:val="28"/>
        </w:rPr>
      </w:pPr>
    </w:p>
    <w:p w14:paraId="0DB55AB8" w14:textId="77777777" w:rsidR="00483D15" w:rsidRDefault="00483D15">
      <w:pPr>
        <w:pStyle w:val="BodyText"/>
        <w:rPr>
          <w:rFonts w:ascii="Arial"/>
          <w:sz w:val="28"/>
        </w:rPr>
      </w:pPr>
    </w:p>
    <w:p w14:paraId="0166098F" w14:textId="77777777" w:rsidR="00483D15" w:rsidRDefault="00483D15">
      <w:pPr>
        <w:pStyle w:val="BodyText"/>
        <w:rPr>
          <w:rFonts w:ascii="Arial"/>
          <w:sz w:val="28"/>
        </w:rPr>
      </w:pPr>
    </w:p>
    <w:p w14:paraId="428955B7" w14:textId="77777777" w:rsidR="00483D15" w:rsidRDefault="00483D15">
      <w:pPr>
        <w:pStyle w:val="BodyText"/>
        <w:rPr>
          <w:rFonts w:ascii="Arial"/>
          <w:sz w:val="28"/>
        </w:rPr>
      </w:pPr>
    </w:p>
    <w:p w14:paraId="29AA321D" w14:textId="77777777" w:rsidR="00483D15" w:rsidRDefault="00483D15">
      <w:pPr>
        <w:pStyle w:val="BodyText"/>
        <w:rPr>
          <w:rFonts w:ascii="Arial"/>
          <w:sz w:val="28"/>
        </w:rPr>
      </w:pPr>
    </w:p>
    <w:p w14:paraId="01513F4E" w14:textId="77777777" w:rsidR="00483D15" w:rsidRDefault="00483D15">
      <w:pPr>
        <w:pStyle w:val="BodyText"/>
        <w:rPr>
          <w:rFonts w:ascii="Arial"/>
          <w:sz w:val="28"/>
        </w:rPr>
      </w:pPr>
    </w:p>
    <w:p w14:paraId="24F652BA" w14:textId="77777777" w:rsidR="00483D15" w:rsidRDefault="00483D15">
      <w:pPr>
        <w:pStyle w:val="BodyText"/>
        <w:rPr>
          <w:rFonts w:ascii="Arial"/>
          <w:sz w:val="28"/>
        </w:rPr>
      </w:pPr>
    </w:p>
    <w:p w14:paraId="18D076AD" w14:textId="77777777" w:rsidR="00483D15" w:rsidRDefault="00483D15">
      <w:pPr>
        <w:pStyle w:val="BodyText"/>
        <w:rPr>
          <w:rFonts w:ascii="Arial"/>
          <w:sz w:val="28"/>
        </w:rPr>
      </w:pPr>
    </w:p>
    <w:p w14:paraId="1065864E" w14:textId="77777777" w:rsidR="00483D15" w:rsidRDefault="00483D15">
      <w:pPr>
        <w:pStyle w:val="BodyText"/>
        <w:rPr>
          <w:rFonts w:ascii="Arial"/>
          <w:sz w:val="28"/>
        </w:rPr>
      </w:pPr>
    </w:p>
    <w:p w14:paraId="21DE2A0E" w14:textId="77777777" w:rsidR="00483D15" w:rsidRDefault="00483D15">
      <w:pPr>
        <w:pStyle w:val="BodyText"/>
        <w:spacing w:before="276"/>
        <w:rPr>
          <w:rFonts w:ascii="Arial"/>
          <w:sz w:val="28"/>
        </w:rPr>
      </w:pPr>
    </w:p>
    <w:p w14:paraId="63001065" w14:textId="77777777" w:rsidR="00483D15" w:rsidRDefault="00000000">
      <w:pPr>
        <w:ind w:right="425"/>
        <w:jc w:val="center"/>
        <w:rPr>
          <w:rFonts w:ascii="Arial"/>
          <w:sz w:val="28"/>
        </w:rPr>
      </w:pPr>
      <w:r>
        <w:rPr>
          <w:rFonts w:ascii="Arial"/>
          <w:sz w:val="28"/>
        </w:rPr>
        <w:t>November</w:t>
      </w:r>
      <w:r>
        <w:rPr>
          <w:rFonts w:ascii="Arial"/>
          <w:spacing w:val="-15"/>
          <w:sz w:val="28"/>
        </w:rPr>
        <w:t xml:space="preserve"> </w:t>
      </w:r>
      <w:r>
        <w:rPr>
          <w:rFonts w:ascii="Arial"/>
          <w:spacing w:val="-4"/>
          <w:sz w:val="28"/>
        </w:rPr>
        <w:t>2021</w:t>
      </w:r>
    </w:p>
    <w:p w14:paraId="1481E8D2" w14:textId="77777777" w:rsidR="00483D15" w:rsidRDefault="00483D15">
      <w:pPr>
        <w:jc w:val="center"/>
        <w:rPr>
          <w:rFonts w:ascii="Arial"/>
          <w:sz w:val="28"/>
        </w:rPr>
        <w:sectPr w:rsidR="00483D15">
          <w:headerReference w:type="even" r:id="rId8"/>
          <w:footerReference w:type="even" r:id="rId9"/>
          <w:footerReference w:type="default" r:id="rId10"/>
          <w:headerReference w:type="first" r:id="rId11"/>
          <w:footerReference w:type="first" r:id="rId12"/>
          <w:type w:val="continuous"/>
          <w:pgSz w:w="11910" w:h="16840"/>
          <w:pgMar w:top="1920" w:right="566" w:bottom="1200" w:left="992" w:header="0" w:footer="1000" w:gutter="0"/>
          <w:pgNumType w:start="1"/>
          <w:cols w:space="720"/>
        </w:sectPr>
      </w:pPr>
    </w:p>
    <w:p w14:paraId="56CD6E4B" w14:textId="77777777" w:rsidR="00483D15" w:rsidRDefault="00483D15">
      <w:pPr>
        <w:pStyle w:val="BodyText"/>
        <w:spacing w:before="4"/>
        <w:rPr>
          <w:rFonts w:ascii="Arial"/>
          <w:sz w:val="17"/>
        </w:rPr>
      </w:pPr>
    </w:p>
    <w:p w14:paraId="220D2151" w14:textId="77777777" w:rsidR="00483D15" w:rsidRDefault="00483D15">
      <w:pPr>
        <w:pStyle w:val="BodyText"/>
        <w:rPr>
          <w:rFonts w:ascii="Arial"/>
          <w:sz w:val="17"/>
        </w:rPr>
        <w:sectPr w:rsidR="00483D15">
          <w:pgSz w:w="11910" w:h="16840"/>
          <w:pgMar w:top="1920" w:right="566" w:bottom="1200" w:left="992" w:header="0" w:footer="1000" w:gutter="0"/>
          <w:cols w:space="720"/>
        </w:sectPr>
      </w:pPr>
    </w:p>
    <w:p w14:paraId="6CC3F3BE" w14:textId="77777777" w:rsidR="00483D15" w:rsidRDefault="00000000">
      <w:pPr>
        <w:pStyle w:val="Heading1"/>
      </w:pPr>
      <w:r>
        <w:rPr>
          <w:spacing w:val="-2"/>
        </w:rPr>
        <w:lastRenderedPageBreak/>
        <w:t>EXECUTIVE SUMMARY</w:t>
      </w:r>
    </w:p>
    <w:p w14:paraId="346ABFA1" w14:textId="77777777" w:rsidR="00483D15" w:rsidRDefault="00000000">
      <w:pPr>
        <w:spacing w:before="281"/>
        <w:ind w:left="448"/>
        <w:rPr>
          <w:i/>
        </w:rPr>
      </w:pPr>
      <w:r>
        <w:t>Under</w:t>
      </w:r>
      <w:r>
        <w:rPr>
          <w:spacing w:val="-10"/>
        </w:rPr>
        <w:t xml:space="preserve"> </w:t>
      </w:r>
      <w:r>
        <w:t>the</w:t>
      </w:r>
      <w:r>
        <w:rPr>
          <w:spacing w:val="-11"/>
        </w:rPr>
        <w:t xml:space="preserve"> </w:t>
      </w:r>
      <w:r>
        <w:t>Commonwealth’s</w:t>
      </w:r>
      <w:r>
        <w:rPr>
          <w:spacing w:val="-10"/>
        </w:rPr>
        <w:t xml:space="preserve"> </w:t>
      </w:r>
      <w:r>
        <w:rPr>
          <w:i/>
        </w:rPr>
        <w:t>Environment</w:t>
      </w:r>
      <w:r>
        <w:rPr>
          <w:i/>
          <w:spacing w:val="-11"/>
        </w:rPr>
        <w:t xml:space="preserve"> </w:t>
      </w:r>
      <w:r>
        <w:rPr>
          <w:i/>
        </w:rPr>
        <w:t>Protection</w:t>
      </w:r>
      <w:r>
        <w:rPr>
          <w:i/>
          <w:spacing w:val="-10"/>
        </w:rPr>
        <w:t xml:space="preserve"> </w:t>
      </w:r>
      <w:r>
        <w:rPr>
          <w:i/>
        </w:rPr>
        <w:t>and</w:t>
      </w:r>
      <w:r>
        <w:rPr>
          <w:i/>
          <w:spacing w:val="-10"/>
        </w:rPr>
        <w:t xml:space="preserve"> </w:t>
      </w:r>
      <w:r>
        <w:rPr>
          <w:i/>
        </w:rPr>
        <w:t>Biodiversity</w:t>
      </w:r>
      <w:r>
        <w:rPr>
          <w:i/>
          <w:spacing w:val="-11"/>
        </w:rPr>
        <w:t xml:space="preserve"> </w:t>
      </w:r>
      <w:r>
        <w:rPr>
          <w:i/>
        </w:rPr>
        <w:t>Conservation</w:t>
      </w:r>
      <w:r>
        <w:rPr>
          <w:i/>
          <w:spacing w:val="-11"/>
        </w:rPr>
        <w:t xml:space="preserve"> </w:t>
      </w:r>
      <w:r>
        <w:rPr>
          <w:i/>
        </w:rPr>
        <w:t>Act</w:t>
      </w:r>
      <w:r>
        <w:rPr>
          <w:i/>
          <w:spacing w:val="-11"/>
        </w:rPr>
        <w:t xml:space="preserve"> </w:t>
      </w:r>
      <w:r>
        <w:rPr>
          <w:i/>
          <w:spacing w:val="-4"/>
        </w:rPr>
        <w:t>1999</w:t>
      </w:r>
    </w:p>
    <w:p w14:paraId="7E4643D9" w14:textId="77777777" w:rsidR="00483D15" w:rsidRDefault="00000000">
      <w:pPr>
        <w:pStyle w:val="BodyText"/>
        <w:spacing w:before="135" w:line="360" w:lineRule="auto"/>
        <w:ind w:left="448" w:right="923"/>
      </w:pPr>
      <w:r>
        <w:t>(</w:t>
      </w:r>
      <w:r>
        <w:rPr>
          <w:b/>
        </w:rPr>
        <w:t>the EPBC Act</w:t>
      </w:r>
      <w:r>
        <w:t>), approval from the Commonwealth Environment Minister (or their delegate) is needed</w:t>
      </w:r>
      <w:r>
        <w:rPr>
          <w:spacing w:val="-4"/>
        </w:rPr>
        <w:t xml:space="preserve"> </w:t>
      </w:r>
      <w:r>
        <w:t>for</w:t>
      </w:r>
      <w:r>
        <w:rPr>
          <w:spacing w:val="-4"/>
        </w:rPr>
        <w:t xml:space="preserve"> </w:t>
      </w:r>
      <w:r>
        <w:t>any</w:t>
      </w:r>
      <w:r>
        <w:rPr>
          <w:spacing w:val="-4"/>
        </w:rPr>
        <w:t xml:space="preserve"> </w:t>
      </w:r>
      <w:r>
        <w:t>proposed</w:t>
      </w:r>
      <w:r>
        <w:rPr>
          <w:spacing w:val="-3"/>
        </w:rPr>
        <w:t xml:space="preserve"> </w:t>
      </w:r>
      <w:r>
        <w:t>action—including</w:t>
      </w:r>
      <w:r>
        <w:rPr>
          <w:spacing w:val="-3"/>
        </w:rPr>
        <w:t xml:space="preserve"> </w:t>
      </w:r>
      <w:r>
        <w:t>projects,</w:t>
      </w:r>
      <w:r>
        <w:rPr>
          <w:spacing w:val="-2"/>
        </w:rPr>
        <w:t xml:space="preserve"> </w:t>
      </w:r>
      <w:r>
        <w:t>developments,</w:t>
      </w:r>
      <w:r>
        <w:rPr>
          <w:spacing w:val="-4"/>
        </w:rPr>
        <w:t xml:space="preserve"> </w:t>
      </w:r>
      <w:r>
        <w:t>activities,</w:t>
      </w:r>
      <w:r>
        <w:rPr>
          <w:spacing w:val="-2"/>
        </w:rPr>
        <w:t xml:space="preserve"> </w:t>
      </w:r>
      <w:r>
        <w:t>or</w:t>
      </w:r>
      <w:r>
        <w:rPr>
          <w:spacing w:val="-4"/>
        </w:rPr>
        <w:t xml:space="preserve"> </w:t>
      </w:r>
      <w:r>
        <w:t>alteration</w:t>
      </w:r>
      <w:r>
        <w:rPr>
          <w:spacing w:val="-3"/>
        </w:rPr>
        <w:t xml:space="preserve"> </w:t>
      </w:r>
      <w:r>
        <w:t>of</w:t>
      </w:r>
      <w:r>
        <w:rPr>
          <w:spacing w:val="-4"/>
        </w:rPr>
        <w:t xml:space="preserve"> </w:t>
      </w:r>
      <w:r>
        <w:t>these things— likely to have a significant impact on a matter protected by Part 3 of the EPBC Act.</w:t>
      </w:r>
    </w:p>
    <w:p w14:paraId="68A5DD28" w14:textId="77777777" w:rsidR="00483D15" w:rsidRDefault="00000000">
      <w:pPr>
        <w:pStyle w:val="BodyText"/>
        <w:spacing w:line="360" w:lineRule="auto"/>
        <w:ind w:left="448" w:right="923"/>
      </w:pPr>
      <w:r>
        <w:t>Approval</w:t>
      </w:r>
      <w:r>
        <w:rPr>
          <w:spacing w:val="-3"/>
        </w:rPr>
        <w:t xml:space="preserve"> </w:t>
      </w:r>
      <w:r>
        <w:t>can</w:t>
      </w:r>
      <w:r>
        <w:rPr>
          <w:spacing w:val="-2"/>
        </w:rPr>
        <w:t xml:space="preserve"> </w:t>
      </w:r>
      <w:r>
        <w:t>only</w:t>
      </w:r>
      <w:r>
        <w:rPr>
          <w:spacing w:val="-3"/>
        </w:rPr>
        <w:t xml:space="preserve"> </w:t>
      </w:r>
      <w:r>
        <w:t>be</w:t>
      </w:r>
      <w:r>
        <w:rPr>
          <w:spacing w:val="-2"/>
        </w:rPr>
        <w:t xml:space="preserve"> </w:t>
      </w:r>
      <w:r>
        <w:t>granted</w:t>
      </w:r>
      <w:r>
        <w:rPr>
          <w:spacing w:val="-3"/>
        </w:rPr>
        <w:t xml:space="preserve"> </w:t>
      </w:r>
      <w:r>
        <w:t>by</w:t>
      </w:r>
      <w:r>
        <w:rPr>
          <w:spacing w:val="-2"/>
        </w:rPr>
        <w:t xml:space="preserve"> </w:t>
      </w:r>
      <w:r>
        <w:t>the</w:t>
      </w:r>
      <w:r>
        <w:rPr>
          <w:spacing w:val="-2"/>
        </w:rPr>
        <w:t xml:space="preserve"> </w:t>
      </w:r>
      <w:proofErr w:type="gramStart"/>
      <w:r>
        <w:t>Environment</w:t>
      </w:r>
      <w:r>
        <w:rPr>
          <w:spacing w:val="-2"/>
        </w:rPr>
        <w:t xml:space="preserve"> </w:t>
      </w:r>
      <w:r>
        <w:t>Minister</w:t>
      </w:r>
      <w:proofErr w:type="gramEnd"/>
      <w:r>
        <w:rPr>
          <w:spacing w:val="-3"/>
        </w:rPr>
        <w:t xml:space="preserve"> </w:t>
      </w:r>
      <w:r>
        <w:t>after</w:t>
      </w:r>
      <w:r>
        <w:rPr>
          <w:spacing w:val="-2"/>
        </w:rPr>
        <w:t xml:space="preserve"> </w:t>
      </w:r>
      <w:r>
        <w:t>the</w:t>
      </w:r>
      <w:r>
        <w:rPr>
          <w:spacing w:val="-3"/>
        </w:rPr>
        <w:t xml:space="preserve"> </w:t>
      </w:r>
      <w:r>
        <w:t>impact</w:t>
      </w:r>
      <w:r>
        <w:rPr>
          <w:spacing w:val="-3"/>
        </w:rPr>
        <w:t xml:space="preserve"> </w:t>
      </w:r>
      <w:r>
        <w:t>of</w:t>
      </w:r>
      <w:r>
        <w:rPr>
          <w:spacing w:val="-2"/>
        </w:rPr>
        <w:t xml:space="preserve"> </w:t>
      </w:r>
      <w:r>
        <w:t>the</w:t>
      </w:r>
      <w:r>
        <w:rPr>
          <w:spacing w:val="-2"/>
        </w:rPr>
        <w:t xml:space="preserve"> </w:t>
      </w:r>
      <w:r>
        <w:t>proposed</w:t>
      </w:r>
      <w:r>
        <w:rPr>
          <w:spacing w:val="-2"/>
        </w:rPr>
        <w:t xml:space="preserve"> </w:t>
      </w:r>
      <w:r>
        <w:t>action on the matters protected has been assessed.</w:t>
      </w:r>
    </w:p>
    <w:p w14:paraId="3E223527" w14:textId="77777777" w:rsidR="00483D15" w:rsidRDefault="00000000">
      <w:pPr>
        <w:pStyle w:val="BodyText"/>
        <w:spacing w:before="121" w:line="360" w:lineRule="auto"/>
        <w:ind w:left="447" w:right="923"/>
      </w:pPr>
      <w:r>
        <w:t>Part 5 of the EPBC Act provides for the Commonwealth to enter into bilateral agreements with the states and territories.</w:t>
      </w:r>
      <w:r>
        <w:rPr>
          <w:spacing w:val="40"/>
        </w:rPr>
        <w:t xml:space="preserve"> </w:t>
      </w:r>
      <w:r>
        <w:t>Under such agreements, the Commonwealth can accredit a state or territories’</w:t>
      </w:r>
      <w:r>
        <w:rPr>
          <w:spacing w:val="-3"/>
        </w:rPr>
        <w:t xml:space="preserve"> </w:t>
      </w:r>
      <w:r>
        <w:t>environment</w:t>
      </w:r>
      <w:r>
        <w:rPr>
          <w:spacing w:val="-3"/>
        </w:rPr>
        <w:t xml:space="preserve"> </w:t>
      </w:r>
      <w:r>
        <w:t>assessment</w:t>
      </w:r>
      <w:r>
        <w:rPr>
          <w:spacing w:val="-3"/>
        </w:rPr>
        <w:t xml:space="preserve"> </w:t>
      </w:r>
      <w:r>
        <w:t>processes</w:t>
      </w:r>
      <w:r>
        <w:rPr>
          <w:spacing w:val="-3"/>
        </w:rPr>
        <w:t xml:space="preserve"> </w:t>
      </w:r>
      <w:r>
        <w:t>where</w:t>
      </w:r>
      <w:r>
        <w:rPr>
          <w:spacing w:val="-3"/>
        </w:rPr>
        <w:t xml:space="preserve"> </w:t>
      </w:r>
      <w:r>
        <w:t>they</w:t>
      </w:r>
      <w:r>
        <w:rPr>
          <w:spacing w:val="-3"/>
        </w:rPr>
        <w:t xml:space="preserve"> </w:t>
      </w:r>
      <w:r>
        <w:t>meet</w:t>
      </w:r>
      <w:r>
        <w:rPr>
          <w:spacing w:val="-3"/>
        </w:rPr>
        <w:t xml:space="preserve"> </w:t>
      </w:r>
      <w:r>
        <w:t>the</w:t>
      </w:r>
      <w:r>
        <w:rPr>
          <w:spacing w:val="-3"/>
        </w:rPr>
        <w:t xml:space="preserve"> </w:t>
      </w:r>
      <w:r>
        <w:t>requirements</w:t>
      </w:r>
      <w:r>
        <w:rPr>
          <w:spacing w:val="-3"/>
        </w:rPr>
        <w:t xml:space="preserve"> </w:t>
      </w:r>
      <w:r>
        <w:t>of</w:t>
      </w:r>
      <w:r>
        <w:rPr>
          <w:spacing w:val="-3"/>
        </w:rPr>
        <w:t xml:space="preserve"> </w:t>
      </w:r>
      <w:r>
        <w:t>the</w:t>
      </w:r>
      <w:r>
        <w:rPr>
          <w:spacing w:val="-3"/>
        </w:rPr>
        <w:t xml:space="preserve"> </w:t>
      </w:r>
      <w:r>
        <w:t>EPBC</w:t>
      </w:r>
      <w:r>
        <w:rPr>
          <w:spacing w:val="-3"/>
        </w:rPr>
        <w:t xml:space="preserve"> </w:t>
      </w:r>
      <w:r>
        <w:t>Act. This allows proponents to prepare a single set of assessment documentation for both the Commonwealth and the state or territory approval purposes, thereby removing duplication in environment regulation.</w:t>
      </w:r>
    </w:p>
    <w:p w14:paraId="415DE90B" w14:textId="77777777" w:rsidR="00483D15" w:rsidRDefault="00000000">
      <w:pPr>
        <w:pStyle w:val="BodyText"/>
        <w:spacing w:before="120" w:line="360" w:lineRule="auto"/>
        <w:ind w:left="448" w:right="923"/>
      </w:pPr>
      <w:r>
        <w:t>The</w:t>
      </w:r>
      <w:r>
        <w:rPr>
          <w:spacing w:val="-4"/>
        </w:rPr>
        <w:t xml:space="preserve"> </w:t>
      </w:r>
      <w:r>
        <w:t>Commonwealth</w:t>
      </w:r>
      <w:r>
        <w:rPr>
          <w:spacing w:val="-4"/>
        </w:rPr>
        <w:t xml:space="preserve"> </w:t>
      </w:r>
      <w:r>
        <w:t>and</w:t>
      </w:r>
      <w:r>
        <w:rPr>
          <w:spacing w:val="-3"/>
        </w:rPr>
        <w:t xml:space="preserve"> </w:t>
      </w:r>
      <w:r>
        <w:t>New</w:t>
      </w:r>
      <w:r>
        <w:rPr>
          <w:spacing w:val="-4"/>
        </w:rPr>
        <w:t xml:space="preserve"> </w:t>
      </w:r>
      <w:r>
        <w:t>South</w:t>
      </w:r>
      <w:r>
        <w:rPr>
          <w:spacing w:val="-4"/>
        </w:rPr>
        <w:t xml:space="preserve"> </w:t>
      </w:r>
      <w:r>
        <w:t>Wales</w:t>
      </w:r>
      <w:r>
        <w:rPr>
          <w:spacing w:val="-4"/>
        </w:rPr>
        <w:t xml:space="preserve"> </w:t>
      </w:r>
      <w:r>
        <w:t>(NSW)</w:t>
      </w:r>
      <w:r>
        <w:rPr>
          <w:spacing w:val="-3"/>
        </w:rPr>
        <w:t xml:space="preserve"> </w:t>
      </w:r>
      <w:r>
        <w:t>governments</w:t>
      </w:r>
      <w:r>
        <w:rPr>
          <w:spacing w:val="-4"/>
        </w:rPr>
        <w:t xml:space="preserve"> </w:t>
      </w:r>
      <w:r>
        <w:t>entered</w:t>
      </w:r>
      <w:r>
        <w:rPr>
          <w:spacing w:val="-3"/>
        </w:rPr>
        <w:t xml:space="preserve"> </w:t>
      </w:r>
      <w:r>
        <w:t>an</w:t>
      </w:r>
      <w:r>
        <w:rPr>
          <w:spacing w:val="-4"/>
        </w:rPr>
        <w:t xml:space="preserve"> </w:t>
      </w:r>
      <w:r>
        <w:t>assessment</w:t>
      </w:r>
      <w:r>
        <w:rPr>
          <w:spacing w:val="-3"/>
        </w:rPr>
        <w:t xml:space="preserve"> </w:t>
      </w:r>
      <w:r>
        <w:t>bilateral agreement (</w:t>
      </w:r>
      <w:r>
        <w:rPr>
          <w:b/>
        </w:rPr>
        <w:t>the Agreement</w:t>
      </w:r>
      <w:r>
        <w:t>) on 26 February 2015.</w:t>
      </w:r>
      <w:r>
        <w:rPr>
          <w:spacing w:val="40"/>
        </w:rPr>
        <w:t xml:space="preserve"> </w:t>
      </w:r>
      <w:r>
        <w:t>The Agreement:</w:t>
      </w:r>
    </w:p>
    <w:p w14:paraId="4AC21699" w14:textId="77777777" w:rsidR="00483D15" w:rsidRDefault="00000000">
      <w:pPr>
        <w:pStyle w:val="ListParagraph"/>
        <w:numPr>
          <w:ilvl w:val="0"/>
          <w:numId w:val="34"/>
        </w:numPr>
        <w:tabs>
          <w:tab w:val="left" w:pos="1234"/>
        </w:tabs>
        <w:spacing w:before="119" w:line="360" w:lineRule="auto"/>
        <w:ind w:right="1658"/>
      </w:pPr>
      <w:r>
        <w:t>ensures</w:t>
      </w:r>
      <w:r>
        <w:rPr>
          <w:spacing w:val="-3"/>
        </w:rPr>
        <w:t xml:space="preserve"> </w:t>
      </w:r>
      <w:r>
        <w:t>that</w:t>
      </w:r>
      <w:r>
        <w:rPr>
          <w:spacing w:val="-3"/>
        </w:rPr>
        <w:t xml:space="preserve"> </w:t>
      </w:r>
      <w:r>
        <w:t>matters</w:t>
      </w:r>
      <w:r>
        <w:rPr>
          <w:spacing w:val="-4"/>
        </w:rPr>
        <w:t xml:space="preserve"> </w:t>
      </w:r>
      <w:r>
        <w:t>of</w:t>
      </w:r>
      <w:r>
        <w:rPr>
          <w:spacing w:val="-3"/>
        </w:rPr>
        <w:t xml:space="preserve"> </w:t>
      </w:r>
      <w:r>
        <w:t>national</w:t>
      </w:r>
      <w:r>
        <w:rPr>
          <w:spacing w:val="-4"/>
        </w:rPr>
        <w:t xml:space="preserve"> </w:t>
      </w:r>
      <w:r>
        <w:t>environmental</w:t>
      </w:r>
      <w:r>
        <w:rPr>
          <w:spacing w:val="-4"/>
        </w:rPr>
        <w:t xml:space="preserve"> </w:t>
      </w:r>
      <w:proofErr w:type="gramStart"/>
      <w:r>
        <w:t>significant</w:t>
      </w:r>
      <w:proofErr w:type="gramEnd"/>
      <w:r>
        <w:rPr>
          <w:spacing w:val="-3"/>
        </w:rPr>
        <w:t xml:space="preserve"> </w:t>
      </w:r>
      <w:r>
        <w:t>(</w:t>
      </w:r>
      <w:r>
        <w:rPr>
          <w:b/>
        </w:rPr>
        <w:t>MNES</w:t>
      </w:r>
      <w:r>
        <w:t>)</w:t>
      </w:r>
      <w:r>
        <w:rPr>
          <w:spacing w:val="-3"/>
        </w:rPr>
        <w:t xml:space="preserve"> </w:t>
      </w:r>
      <w:r>
        <w:t>are</w:t>
      </w:r>
      <w:r>
        <w:rPr>
          <w:spacing w:val="-4"/>
        </w:rPr>
        <w:t xml:space="preserve"> </w:t>
      </w:r>
      <w:r>
        <w:t>protected</w:t>
      </w:r>
      <w:r>
        <w:rPr>
          <w:spacing w:val="-4"/>
        </w:rPr>
        <w:t xml:space="preserve"> </w:t>
      </w:r>
      <w:r>
        <w:t>as required under the EPBC Act by:</w:t>
      </w:r>
    </w:p>
    <w:p w14:paraId="12E9CFFD" w14:textId="77777777" w:rsidR="00483D15" w:rsidRDefault="00000000">
      <w:pPr>
        <w:pStyle w:val="ListParagraph"/>
        <w:numPr>
          <w:ilvl w:val="1"/>
          <w:numId w:val="34"/>
        </w:numPr>
        <w:tabs>
          <w:tab w:val="left" w:pos="1582"/>
        </w:tabs>
        <w:spacing w:before="121" w:line="357" w:lineRule="auto"/>
        <w:ind w:right="936"/>
      </w:pPr>
      <w:r>
        <w:t>Committing</w:t>
      </w:r>
      <w:r>
        <w:rPr>
          <w:spacing w:val="-4"/>
        </w:rPr>
        <w:t xml:space="preserve"> </w:t>
      </w:r>
      <w:r>
        <w:t>NSW</w:t>
      </w:r>
      <w:r>
        <w:rPr>
          <w:spacing w:val="-4"/>
        </w:rPr>
        <w:t xml:space="preserve"> </w:t>
      </w:r>
      <w:r>
        <w:t>to</w:t>
      </w:r>
      <w:r>
        <w:rPr>
          <w:spacing w:val="-4"/>
        </w:rPr>
        <w:t xml:space="preserve"> </w:t>
      </w:r>
      <w:r>
        <w:t>prepare</w:t>
      </w:r>
      <w:r>
        <w:rPr>
          <w:spacing w:val="-5"/>
        </w:rPr>
        <w:t xml:space="preserve"> </w:t>
      </w:r>
      <w:r>
        <w:t>an</w:t>
      </w:r>
      <w:r>
        <w:rPr>
          <w:spacing w:val="-5"/>
        </w:rPr>
        <w:t xml:space="preserve"> </w:t>
      </w:r>
      <w:r>
        <w:t>Assessment</w:t>
      </w:r>
      <w:r>
        <w:rPr>
          <w:spacing w:val="-4"/>
        </w:rPr>
        <w:t xml:space="preserve"> </w:t>
      </w:r>
      <w:r>
        <w:t>Report,</w:t>
      </w:r>
      <w:r>
        <w:rPr>
          <w:spacing w:val="-3"/>
        </w:rPr>
        <w:t xml:space="preserve"> </w:t>
      </w:r>
      <w:r>
        <w:t>including</w:t>
      </w:r>
      <w:r>
        <w:rPr>
          <w:spacing w:val="-5"/>
        </w:rPr>
        <w:t xml:space="preserve"> </w:t>
      </w:r>
      <w:r>
        <w:t>a</w:t>
      </w:r>
      <w:r>
        <w:rPr>
          <w:spacing w:val="-5"/>
        </w:rPr>
        <w:t xml:space="preserve"> </w:t>
      </w:r>
      <w:r>
        <w:t>recommendation</w:t>
      </w:r>
      <w:r>
        <w:rPr>
          <w:spacing w:val="-5"/>
        </w:rPr>
        <w:t xml:space="preserve"> </w:t>
      </w:r>
      <w:r>
        <w:t>to</w:t>
      </w:r>
      <w:r>
        <w:rPr>
          <w:spacing w:val="-4"/>
        </w:rPr>
        <w:t xml:space="preserve"> </w:t>
      </w:r>
      <w:r>
        <w:t>the Commonwealth on whether to approve an action.</w:t>
      </w:r>
      <w:r>
        <w:rPr>
          <w:spacing w:val="40"/>
        </w:rPr>
        <w:t xml:space="preserve"> </w:t>
      </w:r>
      <w:r>
        <w:t>Where approval is recommended, the Assessment Report is to recommend conditions which, to the greatest extent possible,</w:t>
      </w:r>
      <w:r>
        <w:rPr>
          <w:spacing w:val="-1"/>
        </w:rPr>
        <w:t xml:space="preserve"> </w:t>
      </w:r>
      <w:r>
        <w:t xml:space="preserve">address impacts </w:t>
      </w:r>
      <w:proofErr w:type="gramStart"/>
      <w:r>
        <w:t>to</w:t>
      </w:r>
      <w:proofErr w:type="gramEnd"/>
      <w:r>
        <w:t xml:space="preserve"> MNES so that</w:t>
      </w:r>
      <w:r>
        <w:rPr>
          <w:spacing w:val="-1"/>
        </w:rPr>
        <w:t xml:space="preserve"> </w:t>
      </w:r>
      <w:r>
        <w:t>there</w:t>
      </w:r>
      <w:r>
        <w:rPr>
          <w:spacing w:val="-1"/>
        </w:rPr>
        <w:t xml:space="preserve"> </w:t>
      </w:r>
      <w:r>
        <w:t>are not</w:t>
      </w:r>
      <w:r>
        <w:rPr>
          <w:spacing w:val="-1"/>
        </w:rPr>
        <w:t xml:space="preserve"> </w:t>
      </w:r>
      <w:r>
        <w:t>unacceptable</w:t>
      </w:r>
      <w:r>
        <w:rPr>
          <w:spacing w:val="-1"/>
        </w:rPr>
        <w:t xml:space="preserve"> </w:t>
      </w:r>
      <w:r>
        <w:t>or</w:t>
      </w:r>
      <w:r>
        <w:rPr>
          <w:spacing w:val="-1"/>
        </w:rPr>
        <w:t xml:space="preserve"> </w:t>
      </w:r>
      <w:r>
        <w:t>unsustainable impacts on those matters.</w:t>
      </w:r>
    </w:p>
    <w:p w14:paraId="2EDCDFAC" w14:textId="77777777" w:rsidR="00483D15" w:rsidRDefault="00000000">
      <w:pPr>
        <w:pStyle w:val="ListParagraph"/>
        <w:numPr>
          <w:ilvl w:val="0"/>
          <w:numId w:val="34"/>
        </w:numPr>
        <w:tabs>
          <w:tab w:val="left" w:pos="1234"/>
        </w:tabs>
        <w:spacing w:before="126" w:line="360" w:lineRule="auto"/>
        <w:ind w:right="1600"/>
      </w:pPr>
      <w:r>
        <w:t>ensures</w:t>
      </w:r>
      <w:r>
        <w:rPr>
          <w:spacing w:val="-4"/>
        </w:rPr>
        <w:t xml:space="preserve"> </w:t>
      </w:r>
      <w:r>
        <w:t>an</w:t>
      </w:r>
      <w:r>
        <w:rPr>
          <w:spacing w:val="-3"/>
        </w:rPr>
        <w:t xml:space="preserve"> </w:t>
      </w:r>
      <w:r>
        <w:t>efficient,</w:t>
      </w:r>
      <w:r>
        <w:rPr>
          <w:spacing w:val="-4"/>
        </w:rPr>
        <w:t xml:space="preserve"> </w:t>
      </w:r>
      <w:r>
        <w:t>timely</w:t>
      </w:r>
      <w:r>
        <w:rPr>
          <w:spacing w:val="-3"/>
        </w:rPr>
        <w:t xml:space="preserve"> </w:t>
      </w:r>
      <w:r>
        <w:t>and</w:t>
      </w:r>
      <w:r>
        <w:rPr>
          <w:spacing w:val="-3"/>
        </w:rPr>
        <w:t xml:space="preserve"> </w:t>
      </w:r>
      <w:r>
        <w:t>effective</w:t>
      </w:r>
      <w:r>
        <w:rPr>
          <w:spacing w:val="-3"/>
        </w:rPr>
        <w:t xml:space="preserve"> </w:t>
      </w:r>
      <w:r>
        <w:t>process</w:t>
      </w:r>
      <w:r>
        <w:rPr>
          <w:spacing w:val="-4"/>
        </w:rPr>
        <w:t xml:space="preserve"> </w:t>
      </w:r>
      <w:r>
        <w:t>for</w:t>
      </w:r>
      <w:r>
        <w:rPr>
          <w:spacing w:val="-4"/>
        </w:rPr>
        <w:t xml:space="preserve"> </w:t>
      </w:r>
      <w:r>
        <w:t>environmental</w:t>
      </w:r>
      <w:r>
        <w:rPr>
          <w:spacing w:val="-3"/>
        </w:rPr>
        <w:t xml:space="preserve"> </w:t>
      </w:r>
      <w:r>
        <w:t>assessment</w:t>
      </w:r>
      <w:r>
        <w:rPr>
          <w:spacing w:val="-3"/>
        </w:rPr>
        <w:t xml:space="preserve"> </w:t>
      </w:r>
      <w:r>
        <w:t>and approval of actions by:</w:t>
      </w:r>
    </w:p>
    <w:p w14:paraId="6A7D9D40" w14:textId="77777777" w:rsidR="00483D15" w:rsidRDefault="00000000">
      <w:pPr>
        <w:pStyle w:val="ListParagraph"/>
        <w:numPr>
          <w:ilvl w:val="1"/>
          <w:numId w:val="34"/>
        </w:numPr>
        <w:tabs>
          <w:tab w:val="left" w:pos="1582"/>
        </w:tabs>
        <w:spacing w:line="355" w:lineRule="auto"/>
        <w:ind w:right="1184"/>
      </w:pPr>
      <w:r>
        <w:t>accrediting</w:t>
      </w:r>
      <w:r>
        <w:rPr>
          <w:spacing w:val="-4"/>
        </w:rPr>
        <w:t xml:space="preserve"> </w:t>
      </w:r>
      <w:r>
        <w:t>certain</w:t>
      </w:r>
      <w:r>
        <w:rPr>
          <w:spacing w:val="-4"/>
        </w:rPr>
        <w:t xml:space="preserve"> </w:t>
      </w:r>
      <w:r>
        <w:t>NSW</w:t>
      </w:r>
      <w:r>
        <w:rPr>
          <w:spacing w:val="-4"/>
        </w:rPr>
        <w:t xml:space="preserve"> </w:t>
      </w:r>
      <w:r>
        <w:t>processes</w:t>
      </w:r>
      <w:r>
        <w:rPr>
          <w:spacing w:val="-5"/>
        </w:rPr>
        <w:t xml:space="preserve"> </w:t>
      </w:r>
      <w:r>
        <w:t>for</w:t>
      </w:r>
      <w:r>
        <w:rPr>
          <w:spacing w:val="-5"/>
        </w:rPr>
        <w:t xml:space="preserve"> </w:t>
      </w:r>
      <w:r>
        <w:t>assessment</w:t>
      </w:r>
      <w:r>
        <w:rPr>
          <w:spacing w:val="-5"/>
        </w:rPr>
        <w:t xml:space="preserve"> </w:t>
      </w:r>
      <w:r>
        <w:t>under</w:t>
      </w:r>
      <w:r>
        <w:rPr>
          <w:spacing w:val="-5"/>
        </w:rPr>
        <w:t xml:space="preserve"> </w:t>
      </w:r>
      <w:r>
        <w:t>the</w:t>
      </w:r>
      <w:r>
        <w:rPr>
          <w:spacing w:val="-4"/>
        </w:rPr>
        <w:t xml:space="preserve"> </w:t>
      </w:r>
      <w:r>
        <w:rPr>
          <w:i/>
        </w:rPr>
        <w:t>Environmental</w:t>
      </w:r>
      <w:r>
        <w:rPr>
          <w:i/>
          <w:spacing w:val="-5"/>
        </w:rPr>
        <w:t xml:space="preserve"> </w:t>
      </w:r>
      <w:r>
        <w:rPr>
          <w:i/>
        </w:rPr>
        <w:t xml:space="preserve">Planning and Assessment Act 1979 </w:t>
      </w:r>
      <w:r>
        <w:t>(NSW), including the NSW Biodiversity Offsets Policy for Major Projects;</w:t>
      </w:r>
    </w:p>
    <w:p w14:paraId="7006A34C" w14:textId="77777777" w:rsidR="00483D15" w:rsidRDefault="00000000">
      <w:pPr>
        <w:pStyle w:val="ListParagraph"/>
        <w:numPr>
          <w:ilvl w:val="1"/>
          <w:numId w:val="34"/>
        </w:numPr>
        <w:tabs>
          <w:tab w:val="left" w:pos="1582"/>
        </w:tabs>
        <w:spacing w:before="129" w:line="355" w:lineRule="auto"/>
        <w:ind w:right="947"/>
      </w:pPr>
      <w:r>
        <w:t>exempting certain actions from assessment under Part 8 of the EPBC Act, where those actions</w:t>
      </w:r>
      <w:r>
        <w:rPr>
          <w:spacing w:val="-4"/>
        </w:rPr>
        <w:t xml:space="preserve"> </w:t>
      </w:r>
      <w:r>
        <w:t>have</w:t>
      </w:r>
      <w:r>
        <w:rPr>
          <w:spacing w:val="-2"/>
        </w:rPr>
        <w:t xml:space="preserve"> </w:t>
      </w:r>
      <w:r>
        <w:t>been</w:t>
      </w:r>
      <w:r>
        <w:rPr>
          <w:spacing w:val="-3"/>
        </w:rPr>
        <w:t xml:space="preserve"> </w:t>
      </w:r>
      <w:r>
        <w:t>assessed</w:t>
      </w:r>
      <w:r>
        <w:rPr>
          <w:spacing w:val="-4"/>
        </w:rPr>
        <w:t xml:space="preserve"> </w:t>
      </w:r>
      <w:r>
        <w:t>through</w:t>
      </w:r>
      <w:r>
        <w:rPr>
          <w:spacing w:val="-4"/>
        </w:rPr>
        <w:t xml:space="preserve"> </w:t>
      </w:r>
      <w:r>
        <w:t>an</w:t>
      </w:r>
      <w:r>
        <w:rPr>
          <w:spacing w:val="-3"/>
        </w:rPr>
        <w:t xml:space="preserve"> </w:t>
      </w:r>
      <w:r>
        <w:t>accredited</w:t>
      </w:r>
      <w:r>
        <w:rPr>
          <w:spacing w:val="-3"/>
        </w:rPr>
        <w:t xml:space="preserve"> </w:t>
      </w:r>
      <w:r>
        <w:t>process,</w:t>
      </w:r>
      <w:r>
        <w:rPr>
          <w:spacing w:val="-4"/>
        </w:rPr>
        <w:t xml:space="preserve"> </w:t>
      </w:r>
      <w:r>
        <w:t>and</w:t>
      </w:r>
      <w:r>
        <w:rPr>
          <w:spacing w:val="-4"/>
        </w:rPr>
        <w:t xml:space="preserve"> </w:t>
      </w:r>
      <w:r>
        <w:t>in</w:t>
      </w:r>
      <w:r>
        <w:rPr>
          <w:spacing w:val="-2"/>
        </w:rPr>
        <w:t xml:space="preserve"> </w:t>
      </w:r>
      <w:r>
        <w:t>the</w:t>
      </w:r>
      <w:r>
        <w:rPr>
          <w:spacing w:val="-3"/>
        </w:rPr>
        <w:t xml:space="preserve"> </w:t>
      </w:r>
      <w:r>
        <w:t>manner</w:t>
      </w:r>
      <w:r>
        <w:rPr>
          <w:spacing w:val="-3"/>
        </w:rPr>
        <w:t xml:space="preserve"> </w:t>
      </w:r>
      <w:r>
        <w:t>specified in Schedule 1 of the Agreement; and</w:t>
      </w:r>
    </w:p>
    <w:p w14:paraId="49B38EE6" w14:textId="77777777" w:rsidR="00483D15" w:rsidRDefault="00483D15">
      <w:pPr>
        <w:pStyle w:val="ListParagraph"/>
        <w:spacing w:line="355" w:lineRule="auto"/>
        <w:sectPr w:rsidR="00483D15">
          <w:pgSz w:w="11910" w:h="16840"/>
          <w:pgMar w:top="1360" w:right="566" w:bottom="1200" w:left="992" w:header="0" w:footer="1000" w:gutter="0"/>
          <w:cols w:space="720"/>
        </w:sectPr>
      </w:pPr>
    </w:p>
    <w:p w14:paraId="087DE3CD" w14:textId="77777777" w:rsidR="00483D15" w:rsidRDefault="00000000">
      <w:pPr>
        <w:pStyle w:val="ListParagraph"/>
        <w:numPr>
          <w:ilvl w:val="1"/>
          <w:numId w:val="34"/>
        </w:numPr>
        <w:tabs>
          <w:tab w:val="left" w:pos="1582"/>
        </w:tabs>
        <w:spacing w:before="62" w:line="355" w:lineRule="auto"/>
        <w:ind w:right="1038"/>
      </w:pPr>
      <w:r>
        <w:lastRenderedPageBreak/>
        <w:t>committing</w:t>
      </w:r>
      <w:r>
        <w:rPr>
          <w:spacing w:val="-4"/>
        </w:rPr>
        <w:t xml:space="preserve"> </w:t>
      </w:r>
      <w:r>
        <w:t>the</w:t>
      </w:r>
      <w:r>
        <w:rPr>
          <w:spacing w:val="-5"/>
        </w:rPr>
        <w:t xml:space="preserve"> </w:t>
      </w:r>
      <w:r>
        <w:t>Commonwealth</w:t>
      </w:r>
      <w:r>
        <w:rPr>
          <w:spacing w:val="-4"/>
        </w:rPr>
        <w:t xml:space="preserve"> </w:t>
      </w:r>
      <w:r>
        <w:t>to</w:t>
      </w:r>
      <w:r>
        <w:rPr>
          <w:spacing w:val="-4"/>
        </w:rPr>
        <w:t xml:space="preserve"> </w:t>
      </w:r>
      <w:r>
        <w:t>make</w:t>
      </w:r>
      <w:r>
        <w:rPr>
          <w:spacing w:val="-5"/>
        </w:rPr>
        <w:t xml:space="preserve"> </w:t>
      </w:r>
      <w:r>
        <w:t>its</w:t>
      </w:r>
      <w:r>
        <w:rPr>
          <w:spacing w:val="-3"/>
        </w:rPr>
        <w:t xml:space="preserve"> </w:t>
      </w:r>
      <w:r>
        <w:t>best</w:t>
      </w:r>
      <w:r>
        <w:rPr>
          <w:spacing w:val="-4"/>
        </w:rPr>
        <w:t xml:space="preserve"> </w:t>
      </w:r>
      <w:proofErr w:type="spellStart"/>
      <w:r>
        <w:t>endeavours</w:t>
      </w:r>
      <w:proofErr w:type="spellEnd"/>
      <w:r>
        <w:rPr>
          <w:spacing w:val="-5"/>
        </w:rPr>
        <w:t xml:space="preserve"> </w:t>
      </w:r>
      <w:r>
        <w:t>to</w:t>
      </w:r>
      <w:r>
        <w:rPr>
          <w:spacing w:val="-4"/>
        </w:rPr>
        <w:t xml:space="preserve"> </w:t>
      </w:r>
      <w:r>
        <w:t>ensure</w:t>
      </w:r>
      <w:r>
        <w:rPr>
          <w:spacing w:val="-5"/>
        </w:rPr>
        <w:t xml:space="preserve"> </w:t>
      </w:r>
      <w:r>
        <w:t>that</w:t>
      </w:r>
      <w:r>
        <w:rPr>
          <w:spacing w:val="-4"/>
        </w:rPr>
        <w:t xml:space="preserve"> </w:t>
      </w:r>
      <w:r>
        <w:t>conditions under the EPBC Act are strictly limited to matters not addressed, or likely to not be addressed, by NSW conditions.</w:t>
      </w:r>
    </w:p>
    <w:p w14:paraId="6098E592" w14:textId="77777777" w:rsidR="00483D15" w:rsidRDefault="00000000">
      <w:pPr>
        <w:pStyle w:val="BodyText"/>
        <w:spacing w:before="129" w:line="360" w:lineRule="auto"/>
        <w:ind w:left="448" w:right="923"/>
      </w:pPr>
      <w:r>
        <w:t>The Agreement is administered by the New South Wales Department of Planning, Industry and Environment (DPIE) and the Australian Government Department of Agriculture, Water and the Environment</w:t>
      </w:r>
      <w:r>
        <w:rPr>
          <w:spacing w:val="-3"/>
        </w:rPr>
        <w:t xml:space="preserve"> </w:t>
      </w:r>
      <w:r>
        <w:t>(DAWE).</w:t>
      </w:r>
      <w:r>
        <w:rPr>
          <w:spacing w:val="-4"/>
        </w:rPr>
        <w:t xml:space="preserve"> </w:t>
      </w:r>
      <w:r>
        <w:t>A</w:t>
      </w:r>
      <w:r>
        <w:rPr>
          <w:spacing w:val="-4"/>
        </w:rPr>
        <w:t xml:space="preserve"> </w:t>
      </w:r>
      <w:r>
        <w:t>copy</w:t>
      </w:r>
      <w:r>
        <w:rPr>
          <w:spacing w:val="-4"/>
        </w:rPr>
        <w:t xml:space="preserve"> </w:t>
      </w:r>
      <w:r>
        <w:t>of</w:t>
      </w:r>
      <w:r>
        <w:rPr>
          <w:spacing w:val="-4"/>
        </w:rPr>
        <w:t xml:space="preserve"> </w:t>
      </w:r>
      <w:r>
        <w:t>the</w:t>
      </w:r>
      <w:r>
        <w:rPr>
          <w:spacing w:val="-4"/>
        </w:rPr>
        <w:t xml:space="preserve"> </w:t>
      </w:r>
      <w:r>
        <w:t>full</w:t>
      </w:r>
      <w:r>
        <w:rPr>
          <w:spacing w:val="-3"/>
        </w:rPr>
        <w:t xml:space="preserve"> </w:t>
      </w:r>
      <w:r>
        <w:t>Agreement</w:t>
      </w:r>
      <w:r>
        <w:rPr>
          <w:spacing w:val="-3"/>
        </w:rPr>
        <w:t xml:space="preserve"> </w:t>
      </w:r>
      <w:r>
        <w:t>is</w:t>
      </w:r>
      <w:r>
        <w:rPr>
          <w:spacing w:val="-4"/>
        </w:rPr>
        <w:t xml:space="preserve"> </w:t>
      </w:r>
      <w:r>
        <w:t>available</w:t>
      </w:r>
      <w:r>
        <w:rPr>
          <w:spacing w:val="-4"/>
        </w:rPr>
        <w:t xml:space="preserve"> </w:t>
      </w:r>
      <w:r>
        <w:t>at:</w:t>
      </w:r>
      <w:r>
        <w:rPr>
          <w:spacing w:val="-2"/>
        </w:rPr>
        <w:t xml:space="preserve"> </w:t>
      </w:r>
      <w:hyperlink r:id="rId13">
        <w:r>
          <w:rPr>
            <w:color w:val="0562C1"/>
            <w:u w:val="single" w:color="0562C1"/>
          </w:rPr>
          <w:t>Assessment</w:t>
        </w:r>
        <w:r>
          <w:rPr>
            <w:color w:val="0562C1"/>
            <w:spacing w:val="-4"/>
            <w:u w:val="single" w:color="0562C1"/>
          </w:rPr>
          <w:t xml:space="preserve"> </w:t>
        </w:r>
        <w:r>
          <w:rPr>
            <w:color w:val="0562C1"/>
            <w:u w:val="single" w:color="0562C1"/>
          </w:rPr>
          <w:t>Bilateral</w:t>
        </w:r>
        <w:r>
          <w:rPr>
            <w:color w:val="0562C1"/>
            <w:spacing w:val="-4"/>
            <w:u w:val="single" w:color="0562C1"/>
          </w:rPr>
          <w:t xml:space="preserve"> </w:t>
        </w:r>
        <w:r>
          <w:rPr>
            <w:color w:val="0562C1"/>
            <w:u w:val="single" w:color="0562C1"/>
          </w:rPr>
          <w:t>Agreement</w:t>
        </w:r>
      </w:hyperlink>
      <w:r>
        <w:rPr>
          <w:color w:val="0562C1"/>
        </w:rPr>
        <w:t xml:space="preserve"> </w:t>
      </w:r>
      <w:hyperlink r:id="rId14">
        <w:r>
          <w:rPr>
            <w:color w:val="0562C1"/>
            <w:spacing w:val="-2"/>
            <w:u w:val="single" w:color="0562C1"/>
          </w:rPr>
          <w:t>(NSW)</w:t>
        </w:r>
        <w:r>
          <w:rPr>
            <w:spacing w:val="-2"/>
          </w:rPr>
          <w:t>.</w:t>
        </w:r>
      </w:hyperlink>
    </w:p>
    <w:p w14:paraId="64ABF16C" w14:textId="77777777" w:rsidR="00483D15" w:rsidRDefault="00000000">
      <w:pPr>
        <w:pStyle w:val="BodyText"/>
        <w:spacing w:before="120" w:line="360" w:lineRule="auto"/>
        <w:ind w:left="448" w:right="923"/>
      </w:pPr>
      <w:r>
        <w:t>A</w:t>
      </w:r>
      <w:r>
        <w:rPr>
          <w:spacing w:val="-4"/>
        </w:rPr>
        <w:t xml:space="preserve"> </w:t>
      </w:r>
      <w:r>
        <w:t>non-statutory</w:t>
      </w:r>
      <w:r>
        <w:rPr>
          <w:spacing w:val="-4"/>
        </w:rPr>
        <w:t xml:space="preserve"> </w:t>
      </w:r>
      <w:r>
        <w:t>transitional</w:t>
      </w:r>
      <w:r>
        <w:rPr>
          <w:spacing w:val="-4"/>
        </w:rPr>
        <w:t xml:space="preserve"> </w:t>
      </w:r>
      <w:r>
        <w:t>review</w:t>
      </w:r>
      <w:r>
        <w:rPr>
          <w:spacing w:val="-4"/>
        </w:rPr>
        <w:t xml:space="preserve"> </w:t>
      </w:r>
      <w:r>
        <w:t>was</w:t>
      </w:r>
      <w:r>
        <w:rPr>
          <w:spacing w:val="-2"/>
        </w:rPr>
        <w:t xml:space="preserve"> </w:t>
      </w:r>
      <w:r>
        <w:t>undertaken</w:t>
      </w:r>
      <w:r>
        <w:rPr>
          <w:spacing w:val="-3"/>
        </w:rPr>
        <w:t xml:space="preserve"> </w:t>
      </w:r>
      <w:r>
        <w:t>covering</w:t>
      </w:r>
      <w:r>
        <w:rPr>
          <w:spacing w:val="-3"/>
        </w:rPr>
        <w:t xml:space="preserve"> </w:t>
      </w:r>
      <w:r>
        <w:t>the</w:t>
      </w:r>
      <w:r>
        <w:rPr>
          <w:spacing w:val="-2"/>
        </w:rPr>
        <w:t xml:space="preserve"> </w:t>
      </w:r>
      <w:r>
        <w:t>24</w:t>
      </w:r>
      <w:r>
        <w:rPr>
          <w:spacing w:val="-4"/>
        </w:rPr>
        <w:t xml:space="preserve"> </w:t>
      </w:r>
      <w:r>
        <w:t>months</w:t>
      </w:r>
      <w:r>
        <w:rPr>
          <w:spacing w:val="-2"/>
        </w:rPr>
        <w:t xml:space="preserve"> </w:t>
      </w:r>
      <w:r>
        <w:t>after</w:t>
      </w:r>
      <w:r>
        <w:rPr>
          <w:spacing w:val="-4"/>
        </w:rPr>
        <w:t xml:space="preserve"> </w:t>
      </w:r>
      <w:r>
        <w:t>the</w:t>
      </w:r>
      <w:r>
        <w:rPr>
          <w:spacing w:val="-4"/>
        </w:rPr>
        <w:t xml:space="preserve"> </w:t>
      </w:r>
      <w:r>
        <w:t xml:space="preserve">Agreement commenced. The report is available at: </w:t>
      </w:r>
      <w:hyperlink r:id="rId15">
        <w:r>
          <w:rPr>
            <w:color w:val="0562C1"/>
            <w:u w:val="single" w:color="0562C1"/>
          </w:rPr>
          <w:t>Transitional Review</w:t>
        </w:r>
        <w:r>
          <w:t>.</w:t>
        </w:r>
      </w:hyperlink>
      <w:r>
        <w:t xml:space="preserve"> The priority initiatives for the Transitional Review are set out in Appendix A.</w:t>
      </w:r>
    </w:p>
    <w:p w14:paraId="33599ED7" w14:textId="77777777" w:rsidR="00483D15" w:rsidRDefault="00000000">
      <w:pPr>
        <w:pStyle w:val="BodyText"/>
        <w:spacing w:before="120" w:line="360" w:lineRule="auto"/>
        <w:ind w:left="447" w:right="1198"/>
      </w:pPr>
      <w:r>
        <w:t>This report provides an evaluation of the effectiveness of the Agreement as part of the statutory five-year</w:t>
      </w:r>
      <w:r>
        <w:rPr>
          <w:spacing w:val="-4"/>
        </w:rPr>
        <w:t xml:space="preserve"> </w:t>
      </w:r>
      <w:r>
        <w:t>review.</w:t>
      </w:r>
      <w:r>
        <w:rPr>
          <w:spacing w:val="-4"/>
        </w:rPr>
        <w:t xml:space="preserve"> </w:t>
      </w:r>
      <w:r>
        <w:t>The</w:t>
      </w:r>
      <w:r>
        <w:rPr>
          <w:spacing w:val="-4"/>
        </w:rPr>
        <w:t xml:space="preserve"> </w:t>
      </w:r>
      <w:r>
        <w:t>review</w:t>
      </w:r>
      <w:r>
        <w:rPr>
          <w:spacing w:val="-4"/>
        </w:rPr>
        <w:t xml:space="preserve"> </w:t>
      </w:r>
      <w:r>
        <w:t>considered</w:t>
      </w:r>
      <w:r>
        <w:rPr>
          <w:spacing w:val="-3"/>
        </w:rPr>
        <w:t xml:space="preserve"> </w:t>
      </w:r>
      <w:r>
        <w:t>KPI</w:t>
      </w:r>
      <w:r>
        <w:rPr>
          <w:spacing w:val="-4"/>
        </w:rPr>
        <w:t xml:space="preserve"> </w:t>
      </w:r>
      <w:r>
        <w:t>data</w:t>
      </w:r>
      <w:r>
        <w:rPr>
          <w:spacing w:val="-4"/>
        </w:rPr>
        <w:t xml:space="preserve"> </w:t>
      </w:r>
      <w:r>
        <w:t>and</w:t>
      </w:r>
      <w:r>
        <w:rPr>
          <w:spacing w:val="-2"/>
        </w:rPr>
        <w:t xml:space="preserve"> </w:t>
      </w:r>
      <w:r>
        <w:t>stakeholder</w:t>
      </w:r>
      <w:r>
        <w:rPr>
          <w:spacing w:val="-3"/>
        </w:rPr>
        <w:t xml:space="preserve"> </w:t>
      </w:r>
      <w:r>
        <w:t>consultation</w:t>
      </w:r>
      <w:r>
        <w:rPr>
          <w:spacing w:val="-4"/>
        </w:rPr>
        <w:t xml:space="preserve"> </w:t>
      </w:r>
      <w:r>
        <w:t>and</w:t>
      </w:r>
      <w:r>
        <w:rPr>
          <w:spacing w:val="-3"/>
        </w:rPr>
        <w:t xml:space="preserve"> </w:t>
      </w:r>
      <w:r>
        <w:t>made</w:t>
      </w:r>
      <w:r>
        <w:rPr>
          <w:spacing w:val="-4"/>
        </w:rPr>
        <w:t xml:space="preserve"> </w:t>
      </w:r>
      <w:r>
        <w:t>findings against three key questions:</w:t>
      </w:r>
    </w:p>
    <w:p w14:paraId="19FE8073" w14:textId="2BB27295" w:rsidR="00765A42" w:rsidRPr="003B297C" w:rsidRDefault="00000000" w:rsidP="003B297C">
      <w:pPr>
        <w:pStyle w:val="Heading4"/>
        <w:spacing w:before="120" w:line="360" w:lineRule="auto"/>
        <w:rPr>
          <w:spacing w:val="-2"/>
        </w:rPr>
      </w:pPr>
      <w:r>
        <w:t>Question</w:t>
      </w:r>
      <w:r>
        <w:rPr>
          <w:spacing w:val="-6"/>
        </w:rPr>
        <w:t xml:space="preserve"> </w:t>
      </w:r>
      <w:r>
        <w:t>1:</w:t>
      </w:r>
      <w:r>
        <w:rPr>
          <w:spacing w:val="-6"/>
        </w:rPr>
        <w:t xml:space="preserve"> </w:t>
      </w:r>
      <w:r>
        <w:t>How</w:t>
      </w:r>
      <w:r>
        <w:rPr>
          <w:spacing w:val="-6"/>
        </w:rPr>
        <w:t xml:space="preserve"> </w:t>
      </w:r>
      <w:r>
        <w:t>well</w:t>
      </w:r>
      <w:r>
        <w:rPr>
          <w:spacing w:val="-6"/>
        </w:rPr>
        <w:t xml:space="preserve"> </w:t>
      </w:r>
      <w:r>
        <w:t>are</w:t>
      </w:r>
      <w:r>
        <w:rPr>
          <w:spacing w:val="-6"/>
        </w:rPr>
        <w:t xml:space="preserve"> </w:t>
      </w:r>
      <w:r>
        <w:t>matters</w:t>
      </w:r>
      <w:r>
        <w:rPr>
          <w:spacing w:val="-6"/>
        </w:rPr>
        <w:t xml:space="preserve"> </w:t>
      </w:r>
      <w:r>
        <w:t>required</w:t>
      </w:r>
      <w:r>
        <w:rPr>
          <w:spacing w:val="-6"/>
        </w:rPr>
        <w:t xml:space="preserve"> </w:t>
      </w:r>
      <w:r>
        <w:t>by</w:t>
      </w:r>
      <w:r>
        <w:rPr>
          <w:spacing w:val="-5"/>
        </w:rPr>
        <w:t xml:space="preserve"> </w:t>
      </w:r>
      <w:r>
        <w:t>the</w:t>
      </w:r>
      <w:r>
        <w:rPr>
          <w:spacing w:val="-6"/>
        </w:rPr>
        <w:t xml:space="preserve"> </w:t>
      </w:r>
      <w:r>
        <w:t>BA</w:t>
      </w:r>
      <w:r>
        <w:rPr>
          <w:spacing w:val="-7"/>
        </w:rPr>
        <w:t xml:space="preserve"> </w:t>
      </w:r>
      <w:r>
        <w:t>addressed</w:t>
      </w:r>
      <w:r>
        <w:rPr>
          <w:spacing w:val="-6"/>
        </w:rPr>
        <w:t xml:space="preserve"> </w:t>
      </w:r>
      <w:r>
        <w:t>in</w:t>
      </w:r>
      <w:r>
        <w:rPr>
          <w:spacing w:val="-6"/>
        </w:rPr>
        <w:t xml:space="preserve"> </w:t>
      </w:r>
      <w:r>
        <w:t>state</w:t>
      </w:r>
      <w:r>
        <w:rPr>
          <w:spacing w:val="-6"/>
        </w:rPr>
        <w:t xml:space="preserve"> </w:t>
      </w:r>
      <w:r>
        <w:rPr>
          <w:spacing w:val="-2"/>
        </w:rPr>
        <w:t>assessments?</w:t>
      </w:r>
    </w:p>
    <w:tbl>
      <w:tblPr>
        <w:tblStyle w:val="TableGrid"/>
        <w:tblW w:w="0" w:type="auto"/>
        <w:tblInd w:w="392" w:type="dxa"/>
        <w:tblLook w:val="04A0" w:firstRow="1" w:lastRow="0" w:firstColumn="1" w:lastColumn="0" w:noHBand="0" w:noVBand="1"/>
      </w:tblPr>
      <w:tblGrid>
        <w:gridCol w:w="9355"/>
      </w:tblGrid>
      <w:tr w:rsidR="00765A42" w14:paraId="07BC6779" w14:textId="77777777" w:rsidTr="00765A42">
        <w:trPr>
          <w:trHeight w:val="1088"/>
        </w:trPr>
        <w:tc>
          <w:tcPr>
            <w:tcW w:w="9355" w:type="dxa"/>
          </w:tcPr>
          <w:p w14:paraId="64BED348" w14:textId="461EA495" w:rsidR="00765A42" w:rsidRPr="00765A42" w:rsidRDefault="00765A42" w:rsidP="003B297C">
            <w:pPr>
              <w:pStyle w:val="BodyText"/>
              <w:spacing w:before="73" w:line="276" w:lineRule="auto"/>
              <w:ind w:left="143" w:right="190"/>
            </w:pPr>
            <w:r>
              <w:rPr>
                <w:b/>
              </w:rPr>
              <w:t>Finding:</w:t>
            </w:r>
            <w:r>
              <w:rPr>
                <w:b/>
                <w:spacing w:val="-3"/>
              </w:rPr>
              <w:t xml:space="preserve"> </w:t>
            </w:r>
            <w:r>
              <w:t>State</w:t>
            </w:r>
            <w:r>
              <w:rPr>
                <w:spacing w:val="-4"/>
              </w:rPr>
              <w:t xml:space="preserve"> </w:t>
            </w:r>
            <w:r>
              <w:t>assessments</w:t>
            </w:r>
            <w:r>
              <w:rPr>
                <w:spacing w:val="-4"/>
              </w:rPr>
              <w:t xml:space="preserve"> </w:t>
            </w:r>
            <w:r>
              <w:t>are</w:t>
            </w:r>
            <w:r>
              <w:rPr>
                <w:spacing w:val="-4"/>
              </w:rPr>
              <w:t xml:space="preserve"> </w:t>
            </w:r>
            <w:r>
              <w:t>covering</w:t>
            </w:r>
            <w:r>
              <w:rPr>
                <w:spacing w:val="-4"/>
              </w:rPr>
              <w:t xml:space="preserve"> </w:t>
            </w:r>
            <w:r>
              <w:t>relevant</w:t>
            </w:r>
            <w:r>
              <w:rPr>
                <w:spacing w:val="-3"/>
              </w:rPr>
              <w:t xml:space="preserve"> </w:t>
            </w:r>
            <w:r>
              <w:t>MNES</w:t>
            </w:r>
            <w:r>
              <w:rPr>
                <w:spacing w:val="-3"/>
              </w:rPr>
              <w:t xml:space="preserve"> </w:t>
            </w:r>
            <w:r>
              <w:t>as</w:t>
            </w:r>
            <w:r>
              <w:rPr>
                <w:spacing w:val="-4"/>
              </w:rPr>
              <w:t xml:space="preserve"> </w:t>
            </w:r>
            <w:r>
              <w:t>required.</w:t>
            </w:r>
            <w:r>
              <w:rPr>
                <w:spacing w:val="-3"/>
              </w:rPr>
              <w:t xml:space="preserve"> </w:t>
            </w:r>
            <w:r>
              <w:t>The</w:t>
            </w:r>
            <w:r>
              <w:rPr>
                <w:spacing w:val="-3"/>
              </w:rPr>
              <w:t xml:space="preserve"> </w:t>
            </w:r>
            <w:r>
              <w:t>operation</w:t>
            </w:r>
            <w:r>
              <w:rPr>
                <w:spacing w:val="-4"/>
              </w:rPr>
              <w:t xml:space="preserve"> </w:t>
            </w:r>
            <w:r>
              <w:t>of</w:t>
            </w:r>
            <w:r>
              <w:rPr>
                <w:spacing w:val="-4"/>
              </w:rPr>
              <w:t xml:space="preserve"> </w:t>
            </w:r>
            <w:r>
              <w:t>the</w:t>
            </w:r>
            <w:r>
              <w:rPr>
                <w:spacing w:val="-4"/>
              </w:rPr>
              <w:t xml:space="preserve"> </w:t>
            </w:r>
            <w:r>
              <w:t>Agreement is consistent with Australia’s statutory requirements to ensure MNES are protected as required under the EPBC Act. Stakeholder consultation largely supported these findings.</w:t>
            </w:r>
          </w:p>
        </w:tc>
      </w:tr>
    </w:tbl>
    <w:p w14:paraId="0852CE01" w14:textId="20B8C5EA" w:rsidR="00483D15" w:rsidRDefault="00483D15" w:rsidP="003B297C">
      <w:pPr>
        <w:pStyle w:val="BodyText"/>
        <w:spacing w:before="84" w:line="276" w:lineRule="auto"/>
        <w:rPr>
          <w:b/>
          <w:sz w:val="20"/>
        </w:rPr>
      </w:pPr>
    </w:p>
    <w:p w14:paraId="333BE762" w14:textId="77777777" w:rsidR="00483D15" w:rsidRDefault="00000000" w:rsidP="003B297C">
      <w:pPr>
        <w:pStyle w:val="Heading4"/>
        <w:spacing w:line="276" w:lineRule="auto"/>
        <w:ind w:right="923"/>
      </w:pPr>
      <w:r>
        <w:t>Question</w:t>
      </w:r>
      <w:r>
        <w:rPr>
          <w:spacing w:val="-3"/>
        </w:rPr>
        <w:t xml:space="preserve"> </w:t>
      </w:r>
      <w:r>
        <w:t>2:</w:t>
      </w:r>
      <w:r>
        <w:rPr>
          <w:spacing w:val="-3"/>
        </w:rPr>
        <w:t xml:space="preserve"> </w:t>
      </w:r>
      <w:r>
        <w:t>How</w:t>
      </w:r>
      <w:r>
        <w:rPr>
          <w:spacing w:val="-3"/>
        </w:rPr>
        <w:t xml:space="preserve"> </w:t>
      </w:r>
      <w:r>
        <w:t>effective</w:t>
      </w:r>
      <w:r>
        <w:rPr>
          <w:spacing w:val="-4"/>
        </w:rPr>
        <w:t xml:space="preserve"> </w:t>
      </w:r>
      <w:r>
        <w:t>is</w:t>
      </w:r>
      <w:r>
        <w:rPr>
          <w:spacing w:val="-3"/>
        </w:rPr>
        <w:t xml:space="preserve"> </w:t>
      </w:r>
      <w:r>
        <w:t>the</w:t>
      </w:r>
      <w:r>
        <w:rPr>
          <w:spacing w:val="-4"/>
        </w:rPr>
        <w:t xml:space="preserve"> </w:t>
      </w:r>
      <w:r>
        <w:t>Commonwealth’s</w:t>
      </w:r>
      <w:r>
        <w:rPr>
          <w:spacing w:val="-3"/>
        </w:rPr>
        <w:t xml:space="preserve"> </w:t>
      </w:r>
      <w:r>
        <w:t>endorsement</w:t>
      </w:r>
      <w:r>
        <w:rPr>
          <w:spacing w:val="-3"/>
        </w:rPr>
        <w:t xml:space="preserve"> </w:t>
      </w:r>
      <w:r>
        <w:t>of</w:t>
      </w:r>
      <w:r>
        <w:rPr>
          <w:spacing w:val="-4"/>
        </w:rPr>
        <w:t xml:space="preserve"> </w:t>
      </w:r>
      <w:r>
        <w:t>NSW</w:t>
      </w:r>
      <w:r>
        <w:rPr>
          <w:spacing w:val="-3"/>
        </w:rPr>
        <w:t xml:space="preserve"> </w:t>
      </w:r>
      <w:r>
        <w:t>offset</w:t>
      </w:r>
      <w:r>
        <w:rPr>
          <w:spacing w:val="-3"/>
        </w:rPr>
        <w:t xml:space="preserve"> </w:t>
      </w:r>
      <w:r>
        <w:t>approaches</w:t>
      </w:r>
      <w:r>
        <w:rPr>
          <w:spacing w:val="-4"/>
        </w:rPr>
        <w:t xml:space="preserve"> </w:t>
      </w:r>
      <w:r>
        <w:t>to ensure long-term environmental outcomes for relevant MNES?</w:t>
      </w:r>
    </w:p>
    <w:tbl>
      <w:tblPr>
        <w:tblStyle w:val="TableGrid"/>
        <w:tblW w:w="0" w:type="auto"/>
        <w:tblInd w:w="392" w:type="dxa"/>
        <w:tblLook w:val="04A0" w:firstRow="1" w:lastRow="0" w:firstColumn="1" w:lastColumn="0" w:noHBand="0" w:noVBand="1"/>
      </w:tblPr>
      <w:tblGrid>
        <w:gridCol w:w="9355"/>
      </w:tblGrid>
      <w:tr w:rsidR="00765A42" w14:paraId="2074F4C3" w14:textId="77777777" w:rsidTr="00765A42">
        <w:tc>
          <w:tcPr>
            <w:tcW w:w="9355" w:type="dxa"/>
          </w:tcPr>
          <w:p w14:paraId="7D21C858" w14:textId="77777777" w:rsidR="00765A42" w:rsidRDefault="00765A42" w:rsidP="00765A42">
            <w:pPr>
              <w:pStyle w:val="BodyText"/>
              <w:spacing w:before="72" w:line="360" w:lineRule="auto"/>
              <w:ind w:left="144" w:right="633"/>
            </w:pPr>
            <w:r>
              <w:rPr>
                <w:b/>
              </w:rPr>
              <w:t xml:space="preserve">Finding: </w:t>
            </w:r>
            <w:r>
              <w:t>State assessments are addressing EPBC matters. Input from internal and external stakeholders</w:t>
            </w:r>
            <w:r>
              <w:rPr>
                <w:spacing w:val="-2"/>
              </w:rPr>
              <w:t xml:space="preserve"> </w:t>
            </w:r>
            <w:r>
              <w:t>also</w:t>
            </w:r>
            <w:r>
              <w:rPr>
                <w:spacing w:val="-3"/>
              </w:rPr>
              <w:t xml:space="preserve"> </w:t>
            </w:r>
            <w:r>
              <w:t>indicates</w:t>
            </w:r>
            <w:r>
              <w:rPr>
                <w:spacing w:val="-2"/>
              </w:rPr>
              <w:t xml:space="preserve"> </w:t>
            </w:r>
            <w:r>
              <w:t>that</w:t>
            </w:r>
            <w:r>
              <w:rPr>
                <w:spacing w:val="-3"/>
              </w:rPr>
              <w:t xml:space="preserve"> </w:t>
            </w:r>
            <w:r>
              <w:t>NSW</w:t>
            </w:r>
            <w:r>
              <w:rPr>
                <w:spacing w:val="-4"/>
              </w:rPr>
              <w:t xml:space="preserve"> </w:t>
            </w:r>
            <w:r>
              <w:t>offset</w:t>
            </w:r>
            <w:r>
              <w:rPr>
                <w:spacing w:val="-4"/>
              </w:rPr>
              <w:t xml:space="preserve"> </w:t>
            </w:r>
            <w:r>
              <w:t>approaches</w:t>
            </w:r>
            <w:r>
              <w:rPr>
                <w:spacing w:val="-4"/>
              </w:rPr>
              <w:t xml:space="preserve"> </w:t>
            </w:r>
            <w:r>
              <w:t>are</w:t>
            </w:r>
            <w:r>
              <w:rPr>
                <w:spacing w:val="-4"/>
              </w:rPr>
              <w:t xml:space="preserve"> </w:t>
            </w:r>
            <w:r>
              <w:t>likely</w:t>
            </w:r>
            <w:r>
              <w:rPr>
                <w:spacing w:val="-4"/>
              </w:rPr>
              <w:t xml:space="preserve"> </w:t>
            </w:r>
            <w:r>
              <w:t>to</w:t>
            </w:r>
            <w:r>
              <w:rPr>
                <w:spacing w:val="-3"/>
              </w:rPr>
              <w:t xml:space="preserve"> </w:t>
            </w:r>
            <w:r>
              <w:t>be</w:t>
            </w:r>
            <w:r>
              <w:rPr>
                <w:spacing w:val="-3"/>
              </w:rPr>
              <w:t xml:space="preserve"> </w:t>
            </w:r>
            <w:r>
              <w:t>contributing</w:t>
            </w:r>
            <w:r>
              <w:rPr>
                <w:spacing w:val="-3"/>
              </w:rPr>
              <w:t xml:space="preserve"> </w:t>
            </w:r>
            <w:r>
              <w:t>to</w:t>
            </w:r>
            <w:r>
              <w:rPr>
                <w:spacing w:val="-3"/>
              </w:rPr>
              <w:t xml:space="preserve"> </w:t>
            </w:r>
            <w:r>
              <w:t>ensuring environmental outcomes for MNES.</w:t>
            </w:r>
          </w:p>
          <w:p w14:paraId="1638E9FB" w14:textId="77777777" w:rsidR="00765A42" w:rsidRDefault="00765A42">
            <w:pPr>
              <w:pStyle w:val="BodyText"/>
              <w:spacing w:before="5"/>
              <w:rPr>
                <w:b/>
                <w:sz w:val="9"/>
              </w:rPr>
            </w:pPr>
          </w:p>
        </w:tc>
      </w:tr>
    </w:tbl>
    <w:p w14:paraId="55DCF22C" w14:textId="77777777" w:rsidR="00483D15" w:rsidRDefault="00483D15">
      <w:pPr>
        <w:pStyle w:val="BodyText"/>
        <w:spacing w:before="251"/>
        <w:rPr>
          <w:b/>
        </w:rPr>
      </w:pPr>
    </w:p>
    <w:p w14:paraId="184361F8" w14:textId="77777777" w:rsidR="00483D15" w:rsidRDefault="00000000">
      <w:pPr>
        <w:pStyle w:val="Heading4"/>
        <w:spacing w:before="1" w:line="360" w:lineRule="auto"/>
        <w:ind w:right="923"/>
      </w:pPr>
      <w:r>
        <w:t>Question</w:t>
      </w:r>
      <w:r>
        <w:rPr>
          <w:spacing w:val="-3"/>
        </w:rPr>
        <w:t xml:space="preserve"> </w:t>
      </w:r>
      <w:r>
        <w:t>3:</w:t>
      </w:r>
      <w:r>
        <w:rPr>
          <w:spacing w:val="-3"/>
        </w:rPr>
        <w:t xml:space="preserve"> </w:t>
      </w:r>
      <w:r>
        <w:t>How</w:t>
      </w:r>
      <w:r>
        <w:rPr>
          <w:spacing w:val="-3"/>
        </w:rPr>
        <w:t xml:space="preserve"> </w:t>
      </w:r>
      <w:r>
        <w:t>effective</w:t>
      </w:r>
      <w:r>
        <w:rPr>
          <w:spacing w:val="-4"/>
        </w:rPr>
        <w:t xml:space="preserve"> </w:t>
      </w:r>
      <w:r>
        <w:t>is</w:t>
      </w:r>
      <w:r>
        <w:rPr>
          <w:spacing w:val="-3"/>
        </w:rPr>
        <w:t xml:space="preserve"> </w:t>
      </w:r>
      <w:r>
        <w:t>the</w:t>
      </w:r>
      <w:r>
        <w:rPr>
          <w:spacing w:val="-4"/>
        </w:rPr>
        <w:t xml:space="preserve"> </w:t>
      </w:r>
      <w:r>
        <w:t>Bilateral</w:t>
      </w:r>
      <w:r>
        <w:rPr>
          <w:spacing w:val="-3"/>
        </w:rPr>
        <w:t xml:space="preserve"> </w:t>
      </w:r>
      <w:r>
        <w:t>Agreement</w:t>
      </w:r>
      <w:r>
        <w:rPr>
          <w:spacing w:val="-3"/>
        </w:rPr>
        <w:t xml:space="preserve"> </w:t>
      </w:r>
      <w:r>
        <w:t>in</w:t>
      </w:r>
      <w:r>
        <w:rPr>
          <w:spacing w:val="-3"/>
        </w:rPr>
        <w:t xml:space="preserve"> </w:t>
      </w:r>
      <w:r>
        <w:t>reducing</w:t>
      </w:r>
      <w:r>
        <w:rPr>
          <w:spacing w:val="-4"/>
        </w:rPr>
        <w:t xml:space="preserve"> </w:t>
      </w:r>
      <w:r>
        <w:t>duplication</w:t>
      </w:r>
      <w:r>
        <w:rPr>
          <w:spacing w:val="-4"/>
        </w:rPr>
        <w:t xml:space="preserve"> </w:t>
      </w:r>
      <w:r>
        <w:t>in</w:t>
      </w:r>
      <w:r>
        <w:rPr>
          <w:spacing w:val="-3"/>
        </w:rPr>
        <w:t xml:space="preserve"> </w:t>
      </w:r>
      <w:r>
        <w:t xml:space="preserve">regulatory </w:t>
      </w:r>
      <w:r>
        <w:rPr>
          <w:spacing w:val="-2"/>
        </w:rPr>
        <w:t>processes?</w:t>
      </w:r>
    </w:p>
    <w:tbl>
      <w:tblPr>
        <w:tblStyle w:val="TableGrid"/>
        <w:tblW w:w="0" w:type="auto"/>
        <w:tblInd w:w="392" w:type="dxa"/>
        <w:tblLook w:val="04A0" w:firstRow="1" w:lastRow="0" w:firstColumn="1" w:lastColumn="0" w:noHBand="0" w:noVBand="1"/>
      </w:tblPr>
      <w:tblGrid>
        <w:gridCol w:w="9497"/>
      </w:tblGrid>
      <w:tr w:rsidR="00765A42" w14:paraId="52066C64" w14:textId="77777777" w:rsidTr="00765A42">
        <w:tc>
          <w:tcPr>
            <w:tcW w:w="9497" w:type="dxa"/>
          </w:tcPr>
          <w:p w14:paraId="42084330" w14:textId="7ECF0C51" w:rsidR="00765A42" w:rsidRPr="00765A42" w:rsidRDefault="00765A42" w:rsidP="00765A42">
            <w:pPr>
              <w:pStyle w:val="BodyText"/>
              <w:spacing w:before="58" w:line="360" w:lineRule="auto"/>
              <w:ind w:left="143" w:right="593"/>
            </w:pPr>
            <w:r>
              <w:rPr>
                <w:b/>
              </w:rPr>
              <w:t xml:space="preserve">Finding: </w:t>
            </w:r>
            <w:r>
              <w:t xml:space="preserve">The operation of the Agreement has reduced duplication in regulatory processes. Stakeholders </w:t>
            </w:r>
            <w:proofErr w:type="spellStart"/>
            <w:r>
              <w:t>emphasised</w:t>
            </w:r>
            <w:proofErr w:type="spellEnd"/>
            <w:r>
              <w:t xml:space="preserve"> that the success of the Agreement can be attributed to the strong relationships between DPIE and DAWE, and that the spirit of cooperation and consultation embedded</w:t>
            </w:r>
            <w:r>
              <w:rPr>
                <w:spacing w:val="-2"/>
              </w:rPr>
              <w:t xml:space="preserve"> </w:t>
            </w:r>
            <w:r>
              <w:t>in</w:t>
            </w:r>
            <w:r>
              <w:rPr>
                <w:spacing w:val="-2"/>
              </w:rPr>
              <w:t xml:space="preserve"> </w:t>
            </w:r>
            <w:r>
              <w:t>the</w:t>
            </w:r>
            <w:r>
              <w:rPr>
                <w:spacing w:val="-2"/>
              </w:rPr>
              <w:t xml:space="preserve"> </w:t>
            </w:r>
            <w:r>
              <w:t>aims</w:t>
            </w:r>
            <w:r>
              <w:rPr>
                <w:spacing w:val="-3"/>
              </w:rPr>
              <w:t xml:space="preserve"> </w:t>
            </w:r>
            <w:r>
              <w:t>of</w:t>
            </w:r>
            <w:r>
              <w:rPr>
                <w:spacing w:val="-2"/>
              </w:rPr>
              <w:t xml:space="preserve"> </w:t>
            </w:r>
            <w:r>
              <w:t>the</w:t>
            </w:r>
            <w:r>
              <w:rPr>
                <w:spacing w:val="-3"/>
              </w:rPr>
              <w:t xml:space="preserve"> </w:t>
            </w:r>
            <w:r>
              <w:t>Agreement</w:t>
            </w:r>
            <w:r>
              <w:rPr>
                <w:spacing w:val="-3"/>
              </w:rPr>
              <w:t xml:space="preserve"> </w:t>
            </w:r>
            <w:r>
              <w:t>has</w:t>
            </w:r>
            <w:r>
              <w:rPr>
                <w:spacing w:val="-3"/>
              </w:rPr>
              <w:t xml:space="preserve"> </w:t>
            </w:r>
            <w:r>
              <w:t>had</w:t>
            </w:r>
            <w:r>
              <w:rPr>
                <w:spacing w:val="-3"/>
              </w:rPr>
              <w:t xml:space="preserve"> </w:t>
            </w:r>
            <w:r>
              <w:t>a</w:t>
            </w:r>
            <w:r>
              <w:rPr>
                <w:spacing w:val="-2"/>
              </w:rPr>
              <w:t xml:space="preserve"> </w:t>
            </w:r>
            <w:r>
              <w:t>positive</w:t>
            </w:r>
            <w:r>
              <w:rPr>
                <w:spacing w:val="-3"/>
              </w:rPr>
              <w:t xml:space="preserve"> </w:t>
            </w:r>
            <w:r>
              <w:t>flow-on</w:t>
            </w:r>
            <w:r>
              <w:rPr>
                <w:spacing w:val="-3"/>
              </w:rPr>
              <w:t xml:space="preserve"> </w:t>
            </w:r>
            <w:r>
              <w:t>effect</w:t>
            </w:r>
            <w:r>
              <w:rPr>
                <w:spacing w:val="-2"/>
              </w:rPr>
              <w:t xml:space="preserve"> </w:t>
            </w:r>
            <w:r>
              <w:t>to</w:t>
            </w:r>
            <w:r>
              <w:rPr>
                <w:spacing w:val="-2"/>
              </w:rPr>
              <w:t xml:space="preserve"> </w:t>
            </w:r>
            <w:r>
              <w:t>other</w:t>
            </w:r>
            <w:r>
              <w:rPr>
                <w:spacing w:val="-3"/>
              </w:rPr>
              <w:t xml:space="preserve"> </w:t>
            </w:r>
            <w:r>
              <w:t>non-bilateral projects and the interactions between DPIE and DAWE.</w:t>
            </w:r>
          </w:p>
        </w:tc>
      </w:tr>
    </w:tbl>
    <w:p w14:paraId="6C1234B8" w14:textId="6BFAAF6C" w:rsidR="00483D15" w:rsidRDefault="00483D15">
      <w:pPr>
        <w:pStyle w:val="BodyText"/>
        <w:rPr>
          <w:b/>
          <w:sz w:val="9"/>
        </w:rPr>
      </w:pPr>
    </w:p>
    <w:p w14:paraId="117D5794" w14:textId="77777777" w:rsidR="00483D15" w:rsidRDefault="00483D15">
      <w:pPr>
        <w:pStyle w:val="BodyText"/>
        <w:rPr>
          <w:b/>
          <w:sz w:val="9"/>
        </w:rPr>
        <w:sectPr w:rsidR="00483D15">
          <w:pgSz w:w="11910" w:h="16840"/>
          <w:pgMar w:top="1360" w:right="566" w:bottom="1200" w:left="992" w:header="0" w:footer="1000" w:gutter="0"/>
          <w:cols w:space="720"/>
        </w:sectPr>
      </w:pPr>
    </w:p>
    <w:p w14:paraId="10958F6D" w14:textId="77777777" w:rsidR="00483D15" w:rsidRDefault="00000000">
      <w:pPr>
        <w:pStyle w:val="BodyText"/>
        <w:spacing w:before="42" w:line="360" w:lineRule="auto"/>
        <w:ind w:left="448" w:right="1198"/>
      </w:pPr>
      <w:r>
        <w:lastRenderedPageBreak/>
        <w:t>The</w:t>
      </w:r>
      <w:r>
        <w:rPr>
          <w:spacing w:val="-4"/>
        </w:rPr>
        <w:t xml:space="preserve"> </w:t>
      </w:r>
      <w:r>
        <w:t>review</w:t>
      </w:r>
      <w:r>
        <w:rPr>
          <w:spacing w:val="-4"/>
        </w:rPr>
        <w:t xml:space="preserve"> </w:t>
      </w:r>
      <w:r>
        <w:t>identified</w:t>
      </w:r>
      <w:r>
        <w:rPr>
          <w:spacing w:val="-4"/>
        </w:rPr>
        <w:t xml:space="preserve"> </w:t>
      </w:r>
      <w:r>
        <w:t>the</w:t>
      </w:r>
      <w:r>
        <w:rPr>
          <w:spacing w:val="-4"/>
        </w:rPr>
        <w:t xml:space="preserve"> </w:t>
      </w:r>
      <w:r>
        <w:t>following</w:t>
      </w:r>
      <w:r>
        <w:rPr>
          <w:spacing w:val="-4"/>
        </w:rPr>
        <w:t xml:space="preserve"> </w:t>
      </w:r>
      <w:r>
        <w:t>priorities</w:t>
      </w:r>
      <w:r>
        <w:rPr>
          <w:spacing w:val="-4"/>
        </w:rPr>
        <w:t xml:space="preserve"> </w:t>
      </w:r>
      <w:r>
        <w:t>to</w:t>
      </w:r>
      <w:r>
        <w:rPr>
          <w:spacing w:val="-3"/>
        </w:rPr>
        <w:t xml:space="preserve"> </w:t>
      </w:r>
      <w:r>
        <w:t>further</w:t>
      </w:r>
      <w:r>
        <w:rPr>
          <w:spacing w:val="-4"/>
        </w:rPr>
        <w:t xml:space="preserve"> </w:t>
      </w:r>
      <w:r>
        <w:t>improve</w:t>
      </w:r>
      <w:r>
        <w:rPr>
          <w:spacing w:val="-3"/>
        </w:rPr>
        <w:t xml:space="preserve"> </w:t>
      </w:r>
      <w:r>
        <w:t>the</w:t>
      </w:r>
      <w:r>
        <w:rPr>
          <w:spacing w:val="-4"/>
        </w:rPr>
        <w:t xml:space="preserve"> </w:t>
      </w:r>
      <w:r>
        <w:t>effectiveness</w:t>
      </w:r>
      <w:r>
        <w:rPr>
          <w:spacing w:val="-4"/>
        </w:rPr>
        <w:t xml:space="preserve"> </w:t>
      </w:r>
      <w:r>
        <w:t>of</w:t>
      </w:r>
      <w:r>
        <w:rPr>
          <w:spacing w:val="-4"/>
        </w:rPr>
        <w:t xml:space="preserve"> </w:t>
      </w:r>
      <w:r>
        <w:t>the Agreement’s implementation:</w:t>
      </w:r>
    </w:p>
    <w:p w14:paraId="54AC0716" w14:textId="77777777" w:rsidR="00483D15" w:rsidRDefault="00000000">
      <w:pPr>
        <w:pStyle w:val="ListParagraph"/>
        <w:numPr>
          <w:ilvl w:val="0"/>
          <w:numId w:val="33"/>
        </w:numPr>
        <w:tabs>
          <w:tab w:val="left" w:pos="663"/>
        </w:tabs>
        <w:spacing w:before="119" w:line="360" w:lineRule="auto"/>
        <w:ind w:right="991" w:firstLine="0"/>
      </w:pPr>
      <w:r>
        <w:t>Review</w:t>
      </w:r>
      <w:r>
        <w:rPr>
          <w:spacing w:val="-4"/>
        </w:rPr>
        <w:t xml:space="preserve"> </w:t>
      </w:r>
      <w:r>
        <w:t>the</w:t>
      </w:r>
      <w:r>
        <w:rPr>
          <w:spacing w:val="-3"/>
        </w:rPr>
        <w:t xml:space="preserve"> </w:t>
      </w:r>
      <w:r>
        <w:t>existing</w:t>
      </w:r>
      <w:r>
        <w:rPr>
          <w:spacing w:val="-3"/>
        </w:rPr>
        <w:t xml:space="preserve"> </w:t>
      </w:r>
      <w:r>
        <w:t>KPIs</w:t>
      </w:r>
      <w:r>
        <w:rPr>
          <w:spacing w:val="-2"/>
        </w:rPr>
        <w:t xml:space="preserve"> </w:t>
      </w:r>
      <w:r>
        <w:t>and</w:t>
      </w:r>
      <w:r>
        <w:rPr>
          <w:spacing w:val="-4"/>
        </w:rPr>
        <w:t xml:space="preserve"> </w:t>
      </w:r>
      <w:r>
        <w:t>Monitoring,</w:t>
      </w:r>
      <w:r>
        <w:rPr>
          <w:spacing w:val="-4"/>
        </w:rPr>
        <w:t xml:space="preserve"> </w:t>
      </w:r>
      <w:r>
        <w:t>Evaluation</w:t>
      </w:r>
      <w:r>
        <w:rPr>
          <w:spacing w:val="-4"/>
        </w:rPr>
        <w:t xml:space="preserve"> </w:t>
      </w:r>
      <w:r>
        <w:t>and</w:t>
      </w:r>
      <w:r>
        <w:rPr>
          <w:spacing w:val="-3"/>
        </w:rPr>
        <w:t xml:space="preserve"> </w:t>
      </w:r>
      <w:r>
        <w:t>Reporting</w:t>
      </w:r>
      <w:r>
        <w:rPr>
          <w:spacing w:val="-4"/>
        </w:rPr>
        <w:t xml:space="preserve"> </w:t>
      </w:r>
      <w:r>
        <w:t>(MER)</w:t>
      </w:r>
      <w:r>
        <w:rPr>
          <w:spacing w:val="-2"/>
        </w:rPr>
        <w:t xml:space="preserve"> </w:t>
      </w:r>
      <w:r>
        <w:t>Strategy</w:t>
      </w:r>
      <w:r>
        <w:rPr>
          <w:spacing w:val="-3"/>
        </w:rPr>
        <w:t xml:space="preserve"> </w:t>
      </w:r>
      <w:r>
        <w:t>to</w:t>
      </w:r>
      <w:r>
        <w:rPr>
          <w:spacing w:val="-3"/>
        </w:rPr>
        <w:t xml:space="preserve"> </w:t>
      </w:r>
      <w:r>
        <w:t>ensure</w:t>
      </w:r>
      <w:r>
        <w:rPr>
          <w:spacing w:val="-4"/>
        </w:rPr>
        <w:t xml:space="preserve"> </w:t>
      </w:r>
      <w:r>
        <w:t>they best support and measure the desired environmental and efficiency outcomes.</w:t>
      </w:r>
    </w:p>
    <w:p w14:paraId="6698C390" w14:textId="77777777" w:rsidR="00483D15" w:rsidRDefault="00000000">
      <w:pPr>
        <w:pStyle w:val="ListParagraph"/>
        <w:numPr>
          <w:ilvl w:val="0"/>
          <w:numId w:val="33"/>
        </w:numPr>
        <w:tabs>
          <w:tab w:val="left" w:pos="663"/>
        </w:tabs>
        <w:spacing w:before="121" w:line="360" w:lineRule="auto"/>
        <w:ind w:right="1134" w:firstLine="0"/>
      </w:pPr>
      <w:r>
        <w:t>Clarify</w:t>
      </w:r>
      <w:r>
        <w:rPr>
          <w:spacing w:val="-3"/>
        </w:rPr>
        <w:t xml:space="preserve"> </w:t>
      </w:r>
      <w:r>
        <w:t>roles</w:t>
      </w:r>
      <w:r>
        <w:rPr>
          <w:spacing w:val="-3"/>
        </w:rPr>
        <w:t xml:space="preserve"> </w:t>
      </w:r>
      <w:r>
        <w:t>and</w:t>
      </w:r>
      <w:r>
        <w:rPr>
          <w:spacing w:val="-3"/>
        </w:rPr>
        <w:t xml:space="preserve"> </w:t>
      </w:r>
      <w:r>
        <w:t>educate</w:t>
      </w:r>
      <w:r>
        <w:rPr>
          <w:spacing w:val="-3"/>
        </w:rPr>
        <w:t xml:space="preserve"> </w:t>
      </w:r>
      <w:r>
        <w:t>stakeholders</w:t>
      </w:r>
      <w:r>
        <w:rPr>
          <w:spacing w:val="-3"/>
        </w:rPr>
        <w:t xml:space="preserve"> </w:t>
      </w:r>
      <w:r>
        <w:t>on</w:t>
      </w:r>
      <w:r>
        <w:rPr>
          <w:spacing w:val="-3"/>
        </w:rPr>
        <w:t xml:space="preserve"> </w:t>
      </w:r>
      <w:r>
        <w:t>the</w:t>
      </w:r>
      <w:r>
        <w:rPr>
          <w:spacing w:val="-3"/>
        </w:rPr>
        <w:t xml:space="preserve"> </w:t>
      </w:r>
      <w:r>
        <w:t>Bilateral</w:t>
      </w:r>
      <w:r>
        <w:rPr>
          <w:spacing w:val="-3"/>
        </w:rPr>
        <w:t xml:space="preserve"> </w:t>
      </w:r>
      <w:r>
        <w:t>Assessment</w:t>
      </w:r>
      <w:r>
        <w:rPr>
          <w:spacing w:val="-2"/>
        </w:rPr>
        <w:t xml:space="preserve"> </w:t>
      </w:r>
      <w:r>
        <w:t>process,</w:t>
      </w:r>
      <w:r>
        <w:rPr>
          <w:spacing w:val="-2"/>
        </w:rPr>
        <w:t xml:space="preserve"> </w:t>
      </w:r>
      <w:r>
        <w:t>and</w:t>
      </w:r>
      <w:r>
        <w:rPr>
          <w:spacing w:val="-3"/>
        </w:rPr>
        <w:t xml:space="preserve"> </w:t>
      </w:r>
      <w:r>
        <w:t>review</w:t>
      </w:r>
      <w:r>
        <w:rPr>
          <w:spacing w:val="-2"/>
        </w:rPr>
        <w:t xml:space="preserve"> </w:t>
      </w:r>
      <w:r>
        <w:t>capacity building measures and governance arrangements to ensure the operation of the Agreement is effective, efficient and timely.</w:t>
      </w:r>
    </w:p>
    <w:p w14:paraId="0D934CB9" w14:textId="77777777" w:rsidR="00483D15" w:rsidRDefault="00000000">
      <w:pPr>
        <w:pStyle w:val="ListParagraph"/>
        <w:numPr>
          <w:ilvl w:val="0"/>
          <w:numId w:val="33"/>
        </w:numPr>
        <w:tabs>
          <w:tab w:val="left" w:pos="663"/>
        </w:tabs>
        <w:spacing w:line="360" w:lineRule="auto"/>
        <w:ind w:right="1000" w:firstLine="0"/>
      </w:pPr>
      <w:r>
        <w:t>Explore</w:t>
      </w:r>
      <w:r>
        <w:rPr>
          <w:spacing w:val="-3"/>
        </w:rPr>
        <w:t xml:space="preserve"> </w:t>
      </w:r>
      <w:r>
        <w:t>ways</w:t>
      </w:r>
      <w:r>
        <w:rPr>
          <w:spacing w:val="-3"/>
        </w:rPr>
        <w:t xml:space="preserve"> </w:t>
      </w:r>
      <w:r>
        <w:t>to</w:t>
      </w:r>
      <w:r>
        <w:rPr>
          <w:spacing w:val="-2"/>
        </w:rPr>
        <w:t xml:space="preserve"> </w:t>
      </w:r>
      <w:r>
        <w:t>improve</w:t>
      </w:r>
      <w:r>
        <w:rPr>
          <w:spacing w:val="-2"/>
        </w:rPr>
        <w:t xml:space="preserve"> </w:t>
      </w:r>
      <w:r>
        <w:t>the</w:t>
      </w:r>
      <w:r>
        <w:rPr>
          <w:spacing w:val="-2"/>
        </w:rPr>
        <w:t xml:space="preserve"> </w:t>
      </w:r>
      <w:r>
        <w:t>existing</w:t>
      </w:r>
      <w:r>
        <w:rPr>
          <w:spacing w:val="-2"/>
        </w:rPr>
        <w:t xml:space="preserve"> </w:t>
      </w:r>
      <w:r>
        <w:t>format</w:t>
      </w:r>
      <w:r>
        <w:rPr>
          <w:spacing w:val="-3"/>
        </w:rPr>
        <w:t xml:space="preserve"> </w:t>
      </w:r>
      <w:r>
        <w:t>and</w:t>
      </w:r>
      <w:r>
        <w:rPr>
          <w:spacing w:val="-2"/>
        </w:rPr>
        <w:t xml:space="preserve"> </w:t>
      </w:r>
      <w:r>
        <w:t>content</w:t>
      </w:r>
      <w:r>
        <w:rPr>
          <w:spacing w:val="-3"/>
        </w:rPr>
        <w:t xml:space="preserve"> </w:t>
      </w:r>
      <w:r>
        <w:t>of</w:t>
      </w:r>
      <w:r>
        <w:rPr>
          <w:spacing w:val="-3"/>
        </w:rPr>
        <w:t xml:space="preserve"> </w:t>
      </w:r>
      <w:r>
        <w:t>standard</w:t>
      </w:r>
      <w:r>
        <w:rPr>
          <w:spacing w:val="-3"/>
        </w:rPr>
        <w:t xml:space="preserve"> </w:t>
      </w:r>
      <w:r>
        <w:t>state</w:t>
      </w:r>
      <w:r>
        <w:rPr>
          <w:spacing w:val="-2"/>
        </w:rPr>
        <w:t xml:space="preserve"> </w:t>
      </w:r>
      <w:r>
        <w:t>assessment</w:t>
      </w:r>
      <w:r>
        <w:rPr>
          <w:spacing w:val="-3"/>
        </w:rPr>
        <w:t xml:space="preserve"> </w:t>
      </w:r>
      <w:r>
        <w:t>reports</w:t>
      </w:r>
      <w:r>
        <w:rPr>
          <w:spacing w:val="-3"/>
        </w:rPr>
        <w:t xml:space="preserve"> </w:t>
      </w:r>
      <w:r>
        <w:t>to suit both DPIE and DAWE decision-making processes.</w:t>
      </w:r>
    </w:p>
    <w:p w14:paraId="66F30DC7" w14:textId="77777777" w:rsidR="00483D15" w:rsidRDefault="00000000">
      <w:pPr>
        <w:pStyle w:val="ListParagraph"/>
        <w:numPr>
          <w:ilvl w:val="0"/>
          <w:numId w:val="33"/>
        </w:numPr>
        <w:tabs>
          <w:tab w:val="left" w:pos="663"/>
        </w:tabs>
        <w:spacing w:line="360" w:lineRule="auto"/>
        <w:ind w:right="893" w:firstLine="0"/>
      </w:pPr>
      <w:r>
        <w:t>Explore</w:t>
      </w:r>
      <w:r>
        <w:rPr>
          <w:spacing w:val="-4"/>
        </w:rPr>
        <w:t xml:space="preserve"> </w:t>
      </w:r>
      <w:r>
        <w:t>ways</w:t>
      </w:r>
      <w:r>
        <w:rPr>
          <w:spacing w:val="-4"/>
        </w:rPr>
        <w:t xml:space="preserve"> </w:t>
      </w:r>
      <w:r>
        <w:t>to</w:t>
      </w:r>
      <w:r>
        <w:rPr>
          <w:spacing w:val="-3"/>
        </w:rPr>
        <w:t xml:space="preserve"> </w:t>
      </w:r>
      <w:r>
        <w:t>provide</w:t>
      </w:r>
      <w:r>
        <w:rPr>
          <w:spacing w:val="-3"/>
        </w:rPr>
        <w:t xml:space="preserve"> </w:t>
      </w:r>
      <w:r>
        <w:t>greater</w:t>
      </w:r>
      <w:r>
        <w:rPr>
          <w:spacing w:val="-3"/>
        </w:rPr>
        <w:t xml:space="preserve"> </w:t>
      </w:r>
      <w:r>
        <w:t>transparency</w:t>
      </w:r>
      <w:r>
        <w:rPr>
          <w:spacing w:val="-3"/>
        </w:rPr>
        <w:t xml:space="preserve"> </w:t>
      </w:r>
      <w:r>
        <w:t>of</w:t>
      </w:r>
      <w:r>
        <w:rPr>
          <w:spacing w:val="-4"/>
        </w:rPr>
        <w:t xml:space="preserve"> </w:t>
      </w:r>
      <w:r>
        <w:t>mitigation</w:t>
      </w:r>
      <w:r>
        <w:rPr>
          <w:spacing w:val="-3"/>
        </w:rPr>
        <w:t xml:space="preserve"> </w:t>
      </w:r>
      <w:r>
        <w:t>of</w:t>
      </w:r>
      <w:r>
        <w:rPr>
          <w:spacing w:val="-4"/>
        </w:rPr>
        <w:t xml:space="preserve"> </w:t>
      </w:r>
      <w:r>
        <w:t>impacts</w:t>
      </w:r>
      <w:r>
        <w:rPr>
          <w:spacing w:val="-4"/>
        </w:rPr>
        <w:t xml:space="preserve"> </w:t>
      </w:r>
      <w:r>
        <w:t>on</w:t>
      </w:r>
      <w:r>
        <w:rPr>
          <w:spacing w:val="-3"/>
        </w:rPr>
        <w:t xml:space="preserve"> </w:t>
      </w:r>
      <w:r>
        <w:t>MNES,</w:t>
      </w:r>
      <w:r>
        <w:rPr>
          <w:spacing w:val="-4"/>
        </w:rPr>
        <w:t xml:space="preserve"> </w:t>
      </w:r>
      <w:r>
        <w:t>including</w:t>
      </w:r>
      <w:r>
        <w:rPr>
          <w:spacing w:val="-2"/>
        </w:rPr>
        <w:t xml:space="preserve"> </w:t>
      </w:r>
      <w:r>
        <w:t>habitat-based and non-habitat-based offsets through to their retirement. Compare offsets secured against impacts for key species and communities to ensure that offsets are achieving the desired environmental outcomes.</w:t>
      </w:r>
    </w:p>
    <w:p w14:paraId="15646A74" w14:textId="77777777" w:rsidR="00483D15" w:rsidRDefault="00000000">
      <w:pPr>
        <w:pStyle w:val="BodyText"/>
        <w:spacing w:before="120" w:line="259" w:lineRule="auto"/>
        <w:ind w:left="448" w:right="923"/>
      </w:pPr>
      <w:r>
        <w:t>Further</w:t>
      </w:r>
      <w:r>
        <w:rPr>
          <w:spacing w:val="-4"/>
        </w:rPr>
        <w:t xml:space="preserve"> </w:t>
      </w:r>
      <w:r>
        <w:t>information</w:t>
      </w:r>
      <w:r>
        <w:rPr>
          <w:spacing w:val="-5"/>
        </w:rPr>
        <w:t xml:space="preserve"> </w:t>
      </w:r>
      <w:r>
        <w:t>on</w:t>
      </w:r>
      <w:r>
        <w:rPr>
          <w:spacing w:val="-4"/>
        </w:rPr>
        <w:t xml:space="preserve"> </w:t>
      </w:r>
      <w:r>
        <w:t>the</w:t>
      </w:r>
      <w:r>
        <w:rPr>
          <w:spacing w:val="-5"/>
        </w:rPr>
        <w:t xml:space="preserve"> </w:t>
      </w:r>
      <w:r>
        <w:t>Agreement</w:t>
      </w:r>
      <w:r>
        <w:rPr>
          <w:spacing w:val="-4"/>
        </w:rPr>
        <w:t xml:space="preserve"> </w:t>
      </w:r>
      <w:r>
        <w:t>relating</w:t>
      </w:r>
      <w:r>
        <w:rPr>
          <w:spacing w:val="-4"/>
        </w:rPr>
        <w:t xml:space="preserve"> </w:t>
      </w:r>
      <w:r>
        <w:t>to</w:t>
      </w:r>
      <w:r>
        <w:rPr>
          <w:spacing w:val="-4"/>
        </w:rPr>
        <w:t xml:space="preserve"> </w:t>
      </w:r>
      <w:r>
        <w:t>environmental</w:t>
      </w:r>
      <w:r>
        <w:rPr>
          <w:spacing w:val="-4"/>
        </w:rPr>
        <w:t xml:space="preserve"> </w:t>
      </w:r>
      <w:r>
        <w:t>assessment</w:t>
      </w:r>
      <w:r>
        <w:rPr>
          <w:spacing w:val="-5"/>
        </w:rPr>
        <w:t xml:space="preserve"> </w:t>
      </w:r>
      <w:r>
        <w:t>between</w:t>
      </w:r>
      <w:r>
        <w:rPr>
          <w:spacing w:val="-4"/>
        </w:rPr>
        <w:t xml:space="preserve"> </w:t>
      </w:r>
      <w:r>
        <w:t>the Commonwealth and the State of NSW can be found at:</w:t>
      </w:r>
    </w:p>
    <w:p w14:paraId="4854B1D7" w14:textId="77777777" w:rsidR="00483D15" w:rsidRDefault="00000000">
      <w:pPr>
        <w:pStyle w:val="BodyText"/>
        <w:spacing w:before="159"/>
        <w:ind w:left="448"/>
      </w:pPr>
      <w:r>
        <w:rPr>
          <w:u w:val="single"/>
        </w:rPr>
        <w:t>Department</w:t>
      </w:r>
      <w:r>
        <w:rPr>
          <w:spacing w:val="-9"/>
          <w:u w:val="single"/>
        </w:rPr>
        <w:t xml:space="preserve"> </w:t>
      </w:r>
      <w:r>
        <w:rPr>
          <w:u w:val="single"/>
        </w:rPr>
        <w:t>of</w:t>
      </w:r>
      <w:r>
        <w:rPr>
          <w:spacing w:val="-10"/>
          <w:u w:val="single"/>
        </w:rPr>
        <w:t xml:space="preserve"> </w:t>
      </w:r>
      <w:r>
        <w:rPr>
          <w:u w:val="single"/>
        </w:rPr>
        <w:t>Planning,</w:t>
      </w:r>
      <w:r>
        <w:rPr>
          <w:spacing w:val="-9"/>
          <w:u w:val="single"/>
        </w:rPr>
        <w:t xml:space="preserve"> </w:t>
      </w:r>
      <w:r>
        <w:rPr>
          <w:u w:val="single"/>
        </w:rPr>
        <w:t>Industry</w:t>
      </w:r>
      <w:r>
        <w:rPr>
          <w:spacing w:val="-10"/>
          <w:u w:val="single"/>
        </w:rPr>
        <w:t xml:space="preserve"> </w:t>
      </w:r>
      <w:r>
        <w:rPr>
          <w:u w:val="single"/>
        </w:rPr>
        <w:t>and</w:t>
      </w:r>
      <w:r>
        <w:rPr>
          <w:spacing w:val="-8"/>
          <w:u w:val="single"/>
        </w:rPr>
        <w:t xml:space="preserve"> </w:t>
      </w:r>
      <w:r>
        <w:rPr>
          <w:spacing w:val="-2"/>
          <w:u w:val="single"/>
        </w:rPr>
        <w:t>Environment</w:t>
      </w:r>
    </w:p>
    <w:p w14:paraId="74376CCE" w14:textId="77777777" w:rsidR="00483D15" w:rsidRDefault="00000000">
      <w:pPr>
        <w:pStyle w:val="BodyText"/>
        <w:spacing w:before="181" w:line="259" w:lineRule="auto"/>
        <w:ind w:left="448" w:right="923"/>
      </w:pPr>
      <w:hyperlink r:id="rId16">
        <w:r>
          <w:rPr>
            <w:color w:val="0562C1"/>
            <w:u w:val="single" w:color="0562C1"/>
          </w:rPr>
          <w:t>https://www.environment.nsw.gov.au/topics/animals-and-plants/biodiversity/assessment-bilateral-</w:t>
        </w:r>
      </w:hyperlink>
      <w:hyperlink r:id="rId17">
        <w:r>
          <w:rPr>
            <w:color w:val="0562C1"/>
            <w:spacing w:val="-2"/>
            <w:u w:val="single" w:color="0562C1"/>
          </w:rPr>
          <w:t>agreement</w:t>
        </w:r>
      </w:hyperlink>
    </w:p>
    <w:p w14:paraId="0D5603AA" w14:textId="77777777" w:rsidR="00483D15" w:rsidRDefault="00000000">
      <w:pPr>
        <w:pStyle w:val="BodyText"/>
        <w:spacing w:before="161"/>
        <w:ind w:left="448"/>
      </w:pPr>
      <w:r>
        <w:rPr>
          <w:u w:val="single"/>
        </w:rPr>
        <w:t>Department</w:t>
      </w:r>
      <w:r>
        <w:rPr>
          <w:spacing w:val="-8"/>
          <w:u w:val="single"/>
        </w:rPr>
        <w:t xml:space="preserve"> </w:t>
      </w:r>
      <w:r>
        <w:rPr>
          <w:u w:val="single"/>
        </w:rPr>
        <w:t>of</w:t>
      </w:r>
      <w:r>
        <w:rPr>
          <w:spacing w:val="-8"/>
          <w:u w:val="single"/>
        </w:rPr>
        <w:t xml:space="preserve"> </w:t>
      </w:r>
      <w:r>
        <w:rPr>
          <w:u w:val="single"/>
        </w:rPr>
        <w:t>Agriculture,</w:t>
      </w:r>
      <w:r>
        <w:rPr>
          <w:spacing w:val="-9"/>
          <w:u w:val="single"/>
        </w:rPr>
        <w:t xml:space="preserve"> </w:t>
      </w:r>
      <w:r>
        <w:rPr>
          <w:u w:val="single"/>
        </w:rPr>
        <w:t>Water</w:t>
      </w:r>
      <w:r>
        <w:rPr>
          <w:spacing w:val="-8"/>
          <w:u w:val="single"/>
        </w:rPr>
        <w:t xml:space="preserve"> </w:t>
      </w:r>
      <w:r>
        <w:rPr>
          <w:u w:val="single"/>
        </w:rPr>
        <w:t>and</w:t>
      </w:r>
      <w:r>
        <w:rPr>
          <w:spacing w:val="-8"/>
          <w:u w:val="single"/>
        </w:rPr>
        <w:t xml:space="preserve"> </w:t>
      </w:r>
      <w:r>
        <w:rPr>
          <w:u w:val="single"/>
        </w:rPr>
        <w:t>the</w:t>
      </w:r>
      <w:r>
        <w:rPr>
          <w:spacing w:val="-9"/>
          <w:u w:val="single"/>
        </w:rPr>
        <w:t xml:space="preserve"> </w:t>
      </w:r>
      <w:r>
        <w:rPr>
          <w:spacing w:val="-2"/>
          <w:u w:val="single"/>
        </w:rPr>
        <w:t>Environment</w:t>
      </w:r>
    </w:p>
    <w:p w14:paraId="37D748BB" w14:textId="77777777" w:rsidR="00483D15" w:rsidRDefault="00000000">
      <w:pPr>
        <w:pStyle w:val="BodyText"/>
        <w:spacing w:before="180"/>
        <w:ind w:left="448"/>
      </w:pPr>
      <w:hyperlink r:id="rId18">
        <w:r>
          <w:rPr>
            <w:color w:val="0562C1"/>
            <w:spacing w:val="-2"/>
            <w:u w:val="single" w:color="0562C1"/>
          </w:rPr>
          <w:t>https://www.environment.gov.au/epbc/single-touch-approvals</w:t>
        </w:r>
      </w:hyperlink>
    </w:p>
    <w:p w14:paraId="590DFBB5" w14:textId="77777777" w:rsidR="00483D15" w:rsidRDefault="00483D15">
      <w:pPr>
        <w:pStyle w:val="BodyText"/>
        <w:sectPr w:rsidR="00483D15">
          <w:pgSz w:w="11910" w:h="16840"/>
          <w:pgMar w:top="1380" w:right="566" w:bottom="1200" w:left="992" w:header="0" w:footer="1000" w:gutter="0"/>
          <w:cols w:space="720"/>
        </w:sectPr>
      </w:pPr>
    </w:p>
    <w:p w14:paraId="087E3D6D" w14:textId="77777777" w:rsidR="00483D15" w:rsidRDefault="00000000">
      <w:pPr>
        <w:pStyle w:val="Heading2"/>
        <w:spacing w:before="71"/>
      </w:pPr>
      <w:r>
        <w:lastRenderedPageBreak/>
        <w:t>SECTION</w:t>
      </w:r>
      <w:r>
        <w:rPr>
          <w:spacing w:val="-6"/>
        </w:rPr>
        <w:t xml:space="preserve"> </w:t>
      </w:r>
      <w:r>
        <w:t>1</w:t>
      </w:r>
      <w:r>
        <w:rPr>
          <w:spacing w:val="-2"/>
        </w:rPr>
        <w:t xml:space="preserve"> </w:t>
      </w:r>
      <w:r>
        <w:t>–</w:t>
      </w:r>
      <w:r>
        <w:rPr>
          <w:spacing w:val="-2"/>
        </w:rPr>
        <w:t xml:space="preserve"> </w:t>
      </w:r>
      <w:r>
        <w:t>BACKGROUND</w:t>
      </w:r>
      <w:r>
        <w:rPr>
          <w:spacing w:val="-3"/>
        </w:rPr>
        <w:t xml:space="preserve"> </w:t>
      </w:r>
      <w:r>
        <w:t>AND</w:t>
      </w:r>
      <w:r>
        <w:rPr>
          <w:spacing w:val="-3"/>
        </w:rPr>
        <w:t xml:space="preserve"> </w:t>
      </w:r>
      <w:r>
        <w:t>SCOPE</w:t>
      </w:r>
      <w:r>
        <w:rPr>
          <w:spacing w:val="-2"/>
        </w:rPr>
        <w:t xml:space="preserve"> </w:t>
      </w:r>
      <w:r>
        <w:t>OF</w:t>
      </w:r>
      <w:r>
        <w:rPr>
          <w:spacing w:val="-3"/>
        </w:rPr>
        <w:t xml:space="preserve"> </w:t>
      </w:r>
      <w:r>
        <w:t>THIS</w:t>
      </w:r>
      <w:r>
        <w:rPr>
          <w:spacing w:val="-1"/>
        </w:rPr>
        <w:t xml:space="preserve"> </w:t>
      </w:r>
      <w:r>
        <w:rPr>
          <w:spacing w:val="-2"/>
        </w:rPr>
        <w:t>REVIEW</w:t>
      </w:r>
    </w:p>
    <w:p w14:paraId="6E073CEF" w14:textId="77777777" w:rsidR="00483D15" w:rsidRDefault="00483D15">
      <w:pPr>
        <w:pStyle w:val="BodyText"/>
        <w:rPr>
          <w:rFonts w:ascii="Arial"/>
          <w:b/>
          <w:sz w:val="26"/>
        </w:rPr>
      </w:pPr>
    </w:p>
    <w:p w14:paraId="26B9A1D3" w14:textId="77777777" w:rsidR="00483D15" w:rsidRDefault="00483D15">
      <w:pPr>
        <w:pStyle w:val="BodyText"/>
        <w:spacing w:before="240"/>
        <w:rPr>
          <w:rFonts w:ascii="Arial"/>
          <w:b/>
          <w:sz w:val="26"/>
        </w:rPr>
      </w:pPr>
    </w:p>
    <w:p w14:paraId="3A81DF03" w14:textId="77777777" w:rsidR="00483D15" w:rsidRDefault="00000000">
      <w:pPr>
        <w:pStyle w:val="Heading4"/>
        <w:numPr>
          <w:ilvl w:val="0"/>
          <w:numId w:val="32"/>
        </w:numPr>
        <w:tabs>
          <w:tab w:val="left" w:pos="1166"/>
        </w:tabs>
        <w:ind w:left="1166" w:hanging="358"/>
      </w:pPr>
      <w:r>
        <w:rPr>
          <w:spacing w:val="-2"/>
        </w:rPr>
        <w:t>Background</w:t>
      </w:r>
    </w:p>
    <w:p w14:paraId="23555B3F" w14:textId="77777777" w:rsidR="00483D15" w:rsidRDefault="00000000">
      <w:pPr>
        <w:spacing w:before="255" w:line="360" w:lineRule="auto"/>
        <w:ind w:left="21" w:right="923"/>
      </w:pPr>
      <w:r>
        <w:t xml:space="preserve">Under the </w:t>
      </w:r>
      <w:r>
        <w:rPr>
          <w:i/>
        </w:rPr>
        <w:t>Environment Protection and Biodiversity Conservation Act 1999 (</w:t>
      </w:r>
      <w:proofErr w:type="spellStart"/>
      <w:r>
        <w:rPr>
          <w:i/>
        </w:rPr>
        <w:t>Cth</w:t>
      </w:r>
      <w:proofErr w:type="spellEnd"/>
      <w:r>
        <w:rPr>
          <w:i/>
        </w:rPr>
        <w:t xml:space="preserve">) </w:t>
      </w:r>
      <w:r>
        <w:t>(EPBC Act), the NSW Assessment</w:t>
      </w:r>
      <w:r>
        <w:rPr>
          <w:spacing w:val="-3"/>
        </w:rPr>
        <w:t xml:space="preserve"> </w:t>
      </w:r>
      <w:r>
        <w:t>Bilateral</w:t>
      </w:r>
      <w:r>
        <w:rPr>
          <w:spacing w:val="-3"/>
        </w:rPr>
        <w:t xml:space="preserve"> </w:t>
      </w:r>
      <w:r>
        <w:t>Agreement</w:t>
      </w:r>
      <w:r>
        <w:rPr>
          <w:spacing w:val="-2"/>
        </w:rPr>
        <w:t xml:space="preserve"> </w:t>
      </w:r>
      <w:r>
        <w:t>2015</w:t>
      </w:r>
      <w:hyperlink w:anchor="_bookmark0" w:history="1">
        <w:r>
          <w:rPr>
            <w:vertAlign w:val="superscript"/>
          </w:rPr>
          <w:t>1</w:t>
        </w:r>
      </w:hyperlink>
      <w:r>
        <w:rPr>
          <w:spacing w:val="-3"/>
        </w:rPr>
        <w:t xml:space="preserve"> </w:t>
      </w:r>
      <w:r>
        <w:t>(the</w:t>
      </w:r>
      <w:r>
        <w:rPr>
          <w:spacing w:val="-3"/>
        </w:rPr>
        <w:t xml:space="preserve"> </w:t>
      </w:r>
      <w:r>
        <w:t>Agreement)</w:t>
      </w:r>
      <w:r>
        <w:rPr>
          <w:spacing w:val="-2"/>
        </w:rPr>
        <w:t xml:space="preserve"> </w:t>
      </w:r>
      <w:r>
        <w:t>streamlines</w:t>
      </w:r>
      <w:r>
        <w:rPr>
          <w:spacing w:val="-3"/>
        </w:rPr>
        <w:t xml:space="preserve"> </w:t>
      </w:r>
      <w:r>
        <w:t>the</w:t>
      </w:r>
      <w:r>
        <w:rPr>
          <w:spacing w:val="-2"/>
        </w:rPr>
        <w:t xml:space="preserve"> </w:t>
      </w:r>
      <w:r>
        <w:t>assessment</w:t>
      </w:r>
      <w:r>
        <w:rPr>
          <w:spacing w:val="-2"/>
        </w:rPr>
        <w:t xml:space="preserve"> </w:t>
      </w:r>
      <w:r>
        <w:t>process</w:t>
      </w:r>
      <w:r>
        <w:rPr>
          <w:spacing w:val="-3"/>
        </w:rPr>
        <w:t xml:space="preserve"> </w:t>
      </w:r>
      <w:r>
        <w:t>for</w:t>
      </w:r>
      <w:r>
        <w:rPr>
          <w:spacing w:val="-3"/>
        </w:rPr>
        <w:t xml:space="preserve"> </w:t>
      </w:r>
      <w:r>
        <w:t>major projects that require both NSW and Australian Government environmental approvals.</w:t>
      </w:r>
    </w:p>
    <w:p w14:paraId="1C9A3B9B" w14:textId="77777777" w:rsidR="00483D15" w:rsidRDefault="00000000">
      <w:pPr>
        <w:pStyle w:val="BodyText"/>
        <w:spacing w:before="120" w:line="360" w:lineRule="auto"/>
        <w:ind w:left="22" w:right="1617"/>
        <w:jc w:val="both"/>
      </w:pPr>
      <w:r>
        <w:t>Under the Agreement, the NSW government assesses development applications on behalf of the Australian</w:t>
      </w:r>
      <w:r>
        <w:rPr>
          <w:spacing w:val="-3"/>
        </w:rPr>
        <w:t xml:space="preserve"> </w:t>
      </w:r>
      <w:r>
        <w:t>Government.</w:t>
      </w:r>
      <w:r>
        <w:rPr>
          <w:spacing w:val="-3"/>
        </w:rPr>
        <w:t xml:space="preserve"> </w:t>
      </w:r>
      <w:r>
        <w:t>The</w:t>
      </w:r>
      <w:r>
        <w:rPr>
          <w:spacing w:val="-4"/>
        </w:rPr>
        <w:t xml:space="preserve"> </w:t>
      </w:r>
      <w:r>
        <w:t>Australian</w:t>
      </w:r>
      <w:r>
        <w:rPr>
          <w:spacing w:val="-3"/>
        </w:rPr>
        <w:t xml:space="preserve"> </w:t>
      </w:r>
      <w:r>
        <w:t>Government</w:t>
      </w:r>
      <w:r>
        <w:rPr>
          <w:spacing w:val="-3"/>
        </w:rPr>
        <w:t xml:space="preserve"> </w:t>
      </w:r>
      <w:r>
        <w:t>remains</w:t>
      </w:r>
      <w:r>
        <w:rPr>
          <w:spacing w:val="-4"/>
        </w:rPr>
        <w:t xml:space="preserve"> </w:t>
      </w:r>
      <w:r>
        <w:t>the</w:t>
      </w:r>
      <w:r>
        <w:rPr>
          <w:spacing w:val="-3"/>
        </w:rPr>
        <w:t xml:space="preserve"> </w:t>
      </w:r>
      <w:r>
        <w:t>decision-maker</w:t>
      </w:r>
      <w:r>
        <w:rPr>
          <w:spacing w:val="-4"/>
        </w:rPr>
        <w:t xml:space="preserve"> </w:t>
      </w:r>
      <w:r>
        <w:t>for</w:t>
      </w:r>
      <w:r>
        <w:rPr>
          <w:spacing w:val="-4"/>
        </w:rPr>
        <w:t xml:space="preserve"> </w:t>
      </w:r>
      <w:r>
        <w:t>the</w:t>
      </w:r>
      <w:r>
        <w:rPr>
          <w:spacing w:val="-3"/>
        </w:rPr>
        <w:t xml:space="preserve"> </w:t>
      </w:r>
      <w:r>
        <w:t>EPBC</w:t>
      </w:r>
      <w:r>
        <w:rPr>
          <w:spacing w:val="-4"/>
        </w:rPr>
        <w:t xml:space="preserve"> </w:t>
      </w:r>
      <w:r>
        <w:t>Act approval, considering the NSW assessment report, including conditions and offset requirements.</w:t>
      </w:r>
    </w:p>
    <w:p w14:paraId="63ED7A3B" w14:textId="77777777" w:rsidR="00483D15" w:rsidRDefault="00000000">
      <w:pPr>
        <w:pStyle w:val="BodyText"/>
        <w:spacing w:before="120" w:line="360" w:lineRule="auto"/>
        <w:ind w:left="22" w:right="1757"/>
        <w:jc w:val="both"/>
      </w:pPr>
      <w:r>
        <w:t>The</w:t>
      </w:r>
      <w:r>
        <w:rPr>
          <w:spacing w:val="-3"/>
        </w:rPr>
        <w:t xml:space="preserve"> </w:t>
      </w:r>
      <w:r>
        <w:t>matters</w:t>
      </w:r>
      <w:r>
        <w:rPr>
          <w:spacing w:val="-4"/>
        </w:rPr>
        <w:t xml:space="preserve"> </w:t>
      </w:r>
      <w:r>
        <w:t>required</w:t>
      </w:r>
      <w:r>
        <w:rPr>
          <w:spacing w:val="-3"/>
        </w:rPr>
        <w:t xml:space="preserve"> </w:t>
      </w:r>
      <w:r>
        <w:t>by</w:t>
      </w:r>
      <w:r>
        <w:rPr>
          <w:spacing w:val="-3"/>
        </w:rPr>
        <w:t xml:space="preserve"> </w:t>
      </w:r>
      <w:r>
        <w:t>the</w:t>
      </w:r>
      <w:r>
        <w:rPr>
          <w:spacing w:val="-4"/>
        </w:rPr>
        <w:t xml:space="preserve"> </w:t>
      </w:r>
      <w:r>
        <w:t>Agreement</w:t>
      </w:r>
      <w:r>
        <w:rPr>
          <w:spacing w:val="-3"/>
        </w:rPr>
        <w:t xml:space="preserve"> </w:t>
      </w:r>
      <w:r>
        <w:t>are</w:t>
      </w:r>
      <w:r>
        <w:rPr>
          <w:spacing w:val="-4"/>
        </w:rPr>
        <w:t xml:space="preserve"> </w:t>
      </w:r>
      <w:r>
        <w:t>outlined</w:t>
      </w:r>
      <w:r>
        <w:rPr>
          <w:spacing w:val="-4"/>
        </w:rPr>
        <w:t xml:space="preserve"> </w:t>
      </w:r>
      <w:r>
        <w:t>in</w:t>
      </w:r>
      <w:r>
        <w:rPr>
          <w:spacing w:val="-4"/>
        </w:rPr>
        <w:t xml:space="preserve"> </w:t>
      </w:r>
      <w:r>
        <w:t>the</w:t>
      </w:r>
      <w:r>
        <w:rPr>
          <w:spacing w:val="-4"/>
        </w:rPr>
        <w:t xml:space="preserve"> </w:t>
      </w:r>
      <w:r>
        <w:t>objects</w:t>
      </w:r>
      <w:r>
        <w:rPr>
          <w:spacing w:val="-2"/>
        </w:rPr>
        <w:t xml:space="preserve"> </w:t>
      </w:r>
      <w:r>
        <w:t>of</w:t>
      </w:r>
      <w:r>
        <w:rPr>
          <w:spacing w:val="-4"/>
        </w:rPr>
        <w:t xml:space="preserve"> </w:t>
      </w:r>
      <w:r>
        <w:t>the</w:t>
      </w:r>
      <w:r>
        <w:rPr>
          <w:spacing w:val="-3"/>
        </w:rPr>
        <w:t xml:space="preserve"> </w:t>
      </w:r>
      <w:r>
        <w:t>Agreement.</w:t>
      </w:r>
      <w:r>
        <w:rPr>
          <w:spacing w:val="-4"/>
        </w:rPr>
        <w:t xml:space="preserve"> </w:t>
      </w:r>
      <w:r>
        <w:t>These</w:t>
      </w:r>
      <w:r>
        <w:rPr>
          <w:spacing w:val="-3"/>
        </w:rPr>
        <w:t xml:space="preserve"> </w:t>
      </w:r>
      <w:r>
        <w:t xml:space="preserve">are presented as a series of commitments, principles and aims which can be </w:t>
      </w:r>
      <w:proofErr w:type="spellStart"/>
      <w:r>
        <w:t>summarised</w:t>
      </w:r>
      <w:proofErr w:type="spellEnd"/>
      <w:r>
        <w:t xml:space="preserve"> as:</w:t>
      </w:r>
    </w:p>
    <w:p w14:paraId="287709DE" w14:textId="77777777" w:rsidR="00483D15" w:rsidRDefault="00000000">
      <w:pPr>
        <w:pStyle w:val="ListParagraph"/>
        <w:numPr>
          <w:ilvl w:val="1"/>
          <w:numId w:val="33"/>
        </w:numPr>
        <w:tabs>
          <w:tab w:val="left" w:pos="741"/>
        </w:tabs>
        <w:spacing w:line="357" w:lineRule="auto"/>
        <w:ind w:right="1455"/>
      </w:pPr>
      <w:r>
        <w:t>the</w:t>
      </w:r>
      <w:r>
        <w:rPr>
          <w:spacing w:val="-4"/>
        </w:rPr>
        <w:t xml:space="preserve"> </w:t>
      </w:r>
      <w:r>
        <w:t>Australian</w:t>
      </w:r>
      <w:r>
        <w:rPr>
          <w:spacing w:val="-4"/>
        </w:rPr>
        <w:t xml:space="preserve"> </w:t>
      </w:r>
      <w:r>
        <w:t>and</w:t>
      </w:r>
      <w:r>
        <w:rPr>
          <w:spacing w:val="-3"/>
        </w:rPr>
        <w:t xml:space="preserve"> </w:t>
      </w:r>
      <w:r>
        <w:t>NSW</w:t>
      </w:r>
      <w:r>
        <w:rPr>
          <w:spacing w:val="-3"/>
        </w:rPr>
        <w:t xml:space="preserve"> </w:t>
      </w:r>
      <w:r>
        <w:t>Governments</w:t>
      </w:r>
      <w:r>
        <w:rPr>
          <w:spacing w:val="-2"/>
        </w:rPr>
        <w:t xml:space="preserve"> </w:t>
      </w:r>
      <w:r>
        <w:t>work</w:t>
      </w:r>
      <w:r>
        <w:rPr>
          <w:spacing w:val="-4"/>
        </w:rPr>
        <w:t xml:space="preserve"> </w:t>
      </w:r>
      <w:r>
        <w:t>cooperatively</w:t>
      </w:r>
      <w:r>
        <w:rPr>
          <w:spacing w:val="-4"/>
        </w:rPr>
        <w:t xml:space="preserve"> </w:t>
      </w:r>
      <w:r>
        <w:t>to</w:t>
      </w:r>
      <w:r>
        <w:rPr>
          <w:spacing w:val="-2"/>
        </w:rPr>
        <w:t xml:space="preserve"> </w:t>
      </w:r>
      <w:r>
        <w:t>establish</w:t>
      </w:r>
      <w:r>
        <w:rPr>
          <w:spacing w:val="-4"/>
        </w:rPr>
        <w:t xml:space="preserve"> </w:t>
      </w:r>
      <w:r>
        <w:t>a</w:t>
      </w:r>
      <w:r>
        <w:rPr>
          <w:spacing w:val="-4"/>
        </w:rPr>
        <w:t xml:space="preserve"> </w:t>
      </w:r>
      <w:r>
        <w:t>‘one-stop</w:t>
      </w:r>
      <w:r>
        <w:rPr>
          <w:spacing w:val="-4"/>
        </w:rPr>
        <w:t xml:space="preserve"> </w:t>
      </w:r>
      <w:r>
        <w:t>shop’</w:t>
      </w:r>
      <w:r>
        <w:rPr>
          <w:spacing w:val="-4"/>
        </w:rPr>
        <w:t xml:space="preserve"> </w:t>
      </w:r>
      <w:r>
        <w:t xml:space="preserve">for environmental assessment where NSW prepares a state assessment report and presents a recommendation to the </w:t>
      </w:r>
      <w:proofErr w:type="gramStart"/>
      <w:r>
        <w:t>Commonwealth Minister</w:t>
      </w:r>
      <w:proofErr w:type="gramEnd"/>
      <w:r>
        <w:t>;</w:t>
      </w:r>
    </w:p>
    <w:p w14:paraId="79C25AB8" w14:textId="77777777" w:rsidR="00483D15" w:rsidRDefault="00000000">
      <w:pPr>
        <w:pStyle w:val="ListParagraph"/>
        <w:numPr>
          <w:ilvl w:val="1"/>
          <w:numId w:val="33"/>
        </w:numPr>
        <w:tabs>
          <w:tab w:val="left" w:pos="741"/>
        </w:tabs>
        <w:spacing w:before="87" w:line="355" w:lineRule="auto"/>
        <w:ind w:right="1486"/>
      </w:pPr>
      <w:proofErr w:type="gramStart"/>
      <w:r>
        <w:t>the</w:t>
      </w:r>
      <w:proofErr w:type="gramEnd"/>
      <w:r>
        <w:rPr>
          <w:spacing w:val="-3"/>
        </w:rPr>
        <w:t xml:space="preserve"> </w:t>
      </w:r>
      <w:r>
        <w:t>state</w:t>
      </w:r>
      <w:r>
        <w:rPr>
          <w:spacing w:val="-3"/>
        </w:rPr>
        <w:t xml:space="preserve"> </w:t>
      </w:r>
      <w:r>
        <w:t>assessment</w:t>
      </w:r>
      <w:r>
        <w:rPr>
          <w:spacing w:val="-3"/>
        </w:rPr>
        <w:t xml:space="preserve"> </w:t>
      </w:r>
      <w:r>
        <w:t>should</w:t>
      </w:r>
      <w:r>
        <w:rPr>
          <w:spacing w:val="-3"/>
        </w:rPr>
        <w:t xml:space="preserve"> </w:t>
      </w:r>
      <w:r>
        <w:t>address</w:t>
      </w:r>
      <w:r>
        <w:rPr>
          <w:spacing w:val="-3"/>
        </w:rPr>
        <w:t xml:space="preserve"> </w:t>
      </w:r>
      <w:r>
        <w:t>impacts</w:t>
      </w:r>
      <w:r>
        <w:rPr>
          <w:spacing w:val="-3"/>
        </w:rPr>
        <w:t xml:space="preserve"> </w:t>
      </w:r>
      <w:proofErr w:type="gramStart"/>
      <w:r>
        <w:t>to</w:t>
      </w:r>
      <w:proofErr w:type="gramEnd"/>
      <w:r>
        <w:rPr>
          <w:spacing w:val="-3"/>
        </w:rPr>
        <w:t xml:space="preserve"> </w:t>
      </w:r>
      <w:r>
        <w:t>MNES</w:t>
      </w:r>
      <w:r>
        <w:rPr>
          <w:spacing w:val="-3"/>
        </w:rPr>
        <w:t xml:space="preserve"> </w:t>
      </w:r>
      <w:r>
        <w:t>and</w:t>
      </w:r>
      <w:r>
        <w:rPr>
          <w:spacing w:val="-3"/>
        </w:rPr>
        <w:t xml:space="preserve"> </w:t>
      </w:r>
      <w:r>
        <w:t>make</w:t>
      </w:r>
      <w:r>
        <w:rPr>
          <w:spacing w:val="-3"/>
        </w:rPr>
        <w:t xml:space="preserve"> </w:t>
      </w:r>
      <w:r>
        <w:t>a</w:t>
      </w:r>
      <w:r>
        <w:rPr>
          <w:spacing w:val="-3"/>
        </w:rPr>
        <w:t xml:space="preserve"> </w:t>
      </w:r>
      <w:r>
        <w:t>recommendation</w:t>
      </w:r>
      <w:r>
        <w:rPr>
          <w:spacing w:val="-3"/>
        </w:rPr>
        <w:t xml:space="preserve"> </w:t>
      </w:r>
      <w:r>
        <w:t>to</w:t>
      </w:r>
      <w:r>
        <w:rPr>
          <w:spacing w:val="-3"/>
        </w:rPr>
        <w:t xml:space="preserve"> </w:t>
      </w:r>
      <w:r>
        <w:t xml:space="preserve">the </w:t>
      </w:r>
      <w:proofErr w:type="gramStart"/>
      <w:r>
        <w:t>Commonwealth</w:t>
      </w:r>
      <w:r>
        <w:rPr>
          <w:spacing w:val="-1"/>
        </w:rPr>
        <w:t xml:space="preserve"> </w:t>
      </w:r>
      <w:r>
        <w:t>Minister</w:t>
      </w:r>
      <w:proofErr w:type="gramEnd"/>
      <w:r>
        <w:rPr>
          <w:spacing w:val="-1"/>
        </w:rPr>
        <w:t xml:space="preserve"> </w:t>
      </w:r>
      <w:r>
        <w:t>such that</w:t>
      </w:r>
      <w:r>
        <w:rPr>
          <w:spacing w:val="-1"/>
        </w:rPr>
        <w:t xml:space="preserve"> </w:t>
      </w:r>
      <w:r>
        <w:t>there</w:t>
      </w:r>
      <w:r>
        <w:rPr>
          <w:spacing w:val="-1"/>
        </w:rPr>
        <w:t xml:space="preserve"> </w:t>
      </w:r>
      <w:r>
        <w:t>are</w:t>
      </w:r>
      <w:r>
        <w:rPr>
          <w:spacing w:val="-1"/>
        </w:rPr>
        <w:t xml:space="preserve"> </w:t>
      </w:r>
      <w:r>
        <w:t>no unacceptable</w:t>
      </w:r>
      <w:r>
        <w:rPr>
          <w:spacing w:val="-1"/>
        </w:rPr>
        <w:t xml:space="preserve"> </w:t>
      </w:r>
      <w:r>
        <w:t>impacts</w:t>
      </w:r>
      <w:r>
        <w:rPr>
          <w:spacing w:val="-1"/>
        </w:rPr>
        <w:t xml:space="preserve"> </w:t>
      </w:r>
      <w:proofErr w:type="gramStart"/>
      <w:r>
        <w:t>to</w:t>
      </w:r>
      <w:proofErr w:type="gramEnd"/>
      <w:r>
        <w:t xml:space="preserve"> those MNES;</w:t>
      </w:r>
      <w:r>
        <w:rPr>
          <w:spacing w:val="-1"/>
        </w:rPr>
        <w:t xml:space="preserve"> </w:t>
      </w:r>
      <w:r>
        <w:t>and</w:t>
      </w:r>
    </w:p>
    <w:p w14:paraId="301F3337" w14:textId="77777777" w:rsidR="00483D15" w:rsidRDefault="00000000">
      <w:pPr>
        <w:pStyle w:val="ListParagraph"/>
        <w:numPr>
          <w:ilvl w:val="1"/>
          <w:numId w:val="33"/>
        </w:numPr>
        <w:tabs>
          <w:tab w:val="left" w:pos="741"/>
        </w:tabs>
        <w:spacing w:before="90"/>
      </w:pPr>
      <w:proofErr w:type="gramStart"/>
      <w:r>
        <w:t>the</w:t>
      </w:r>
      <w:proofErr w:type="gramEnd"/>
      <w:r>
        <w:rPr>
          <w:spacing w:val="-9"/>
        </w:rPr>
        <w:t xml:space="preserve"> </w:t>
      </w:r>
      <w:r>
        <w:t>Commonwealth</w:t>
      </w:r>
      <w:r>
        <w:rPr>
          <w:spacing w:val="-8"/>
        </w:rPr>
        <w:t xml:space="preserve"> </w:t>
      </w:r>
      <w:r>
        <w:t>limits</w:t>
      </w:r>
      <w:r>
        <w:rPr>
          <w:spacing w:val="-6"/>
        </w:rPr>
        <w:t xml:space="preserve"> </w:t>
      </w:r>
      <w:r>
        <w:t>conditions</w:t>
      </w:r>
      <w:r>
        <w:rPr>
          <w:spacing w:val="-7"/>
        </w:rPr>
        <w:t xml:space="preserve"> </w:t>
      </w:r>
      <w:r>
        <w:t>of</w:t>
      </w:r>
      <w:r>
        <w:rPr>
          <w:spacing w:val="-8"/>
        </w:rPr>
        <w:t xml:space="preserve"> </w:t>
      </w:r>
      <w:r>
        <w:t>approval</w:t>
      </w:r>
      <w:r>
        <w:rPr>
          <w:spacing w:val="-8"/>
        </w:rPr>
        <w:t xml:space="preserve"> </w:t>
      </w:r>
      <w:r>
        <w:t>to</w:t>
      </w:r>
      <w:r>
        <w:rPr>
          <w:spacing w:val="-7"/>
        </w:rPr>
        <w:t xml:space="preserve"> </w:t>
      </w:r>
      <w:r>
        <w:t>matters</w:t>
      </w:r>
      <w:r>
        <w:rPr>
          <w:spacing w:val="-6"/>
        </w:rPr>
        <w:t xml:space="preserve"> </w:t>
      </w:r>
      <w:r>
        <w:t>not</w:t>
      </w:r>
      <w:r>
        <w:rPr>
          <w:spacing w:val="-9"/>
        </w:rPr>
        <w:t xml:space="preserve"> </w:t>
      </w:r>
      <w:r>
        <w:t>addressed</w:t>
      </w:r>
      <w:r>
        <w:rPr>
          <w:spacing w:val="-8"/>
        </w:rPr>
        <w:t xml:space="preserve"> </w:t>
      </w:r>
      <w:r>
        <w:t>by</w:t>
      </w:r>
      <w:r>
        <w:rPr>
          <w:spacing w:val="-8"/>
        </w:rPr>
        <w:t xml:space="preserve"> </w:t>
      </w:r>
      <w:r>
        <w:t>state</w:t>
      </w:r>
      <w:r>
        <w:rPr>
          <w:spacing w:val="-7"/>
        </w:rPr>
        <w:t xml:space="preserve"> </w:t>
      </w:r>
      <w:r>
        <w:rPr>
          <w:spacing w:val="-2"/>
        </w:rPr>
        <w:t>conditions.</w:t>
      </w:r>
    </w:p>
    <w:p w14:paraId="37FC8DE3" w14:textId="77777777" w:rsidR="00483D15" w:rsidRDefault="00483D15">
      <w:pPr>
        <w:pStyle w:val="BodyText"/>
      </w:pPr>
    </w:p>
    <w:p w14:paraId="6EDC0D30" w14:textId="77777777" w:rsidR="00483D15" w:rsidRDefault="00483D15">
      <w:pPr>
        <w:pStyle w:val="BodyText"/>
        <w:spacing w:before="201"/>
      </w:pPr>
    </w:p>
    <w:p w14:paraId="0AF2CE78" w14:textId="77777777" w:rsidR="00483D15" w:rsidRDefault="00000000">
      <w:pPr>
        <w:pStyle w:val="BodyText"/>
        <w:spacing w:line="360" w:lineRule="auto"/>
        <w:ind w:left="21" w:right="923"/>
      </w:pPr>
      <w:r>
        <w:t>Object</w:t>
      </w:r>
      <w:r>
        <w:rPr>
          <w:spacing w:val="-3"/>
        </w:rPr>
        <w:t xml:space="preserve"> </w:t>
      </w:r>
      <w:r>
        <w:t>F</w:t>
      </w:r>
      <w:r>
        <w:rPr>
          <w:spacing w:val="-2"/>
        </w:rPr>
        <w:t xml:space="preserve"> </w:t>
      </w:r>
      <w:r>
        <w:t>of</w:t>
      </w:r>
      <w:r>
        <w:rPr>
          <w:spacing w:val="-3"/>
        </w:rPr>
        <w:t xml:space="preserve"> </w:t>
      </w:r>
      <w:r>
        <w:t>the</w:t>
      </w:r>
      <w:r>
        <w:rPr>
          <w:spacing w:val="-3"/>
        </w:rPr>
        <w:t xml:space="preserve"> </w:t>
      </w:r>
      <w:r>
        <w:t>Agreement</w:t>
      </w:r>
      <w:r>
        <w:rPr>
          <w:spacing w:val="-2"/>
        </w:rPr>
        <w:t xml:space="preserve"> </w:t>
      </w:r>
      <w:r>
        <w:t>outlines</w:t>
      </w:r>
      <w:r>
        <w:rPr>
          <w:spacing w:val="-1"/>
        </w:rPr>
        <w:t xml:space="preserve"> </w:t>
      </w:r>
      <w:r>
        <w:t>the</w:t>
      </w:r>
      <w:r>
        <w:rPr>
          <w:spacing w:val="-2"/>
        </w:rPr>
        <w:t xml:space="preserve"> </w:t>
      </w:r>
      <w:r>
        <w:t>aims</w:t>
      </w:r>
      <w:r>
        <w:rPr>
          <w:spacing w:val="-3"/>
        </w:rPr>
        <w:t xml:space="preserve"> </w:t>
      </w:r>
      <w:r>
        <w:t>of</w:t>
      </w:r>
      <w:r>
        <w:rPr>
          <w:spacing w:val="-3"/>
        </w:rPr>
        <w:t xml:space="preserve"> </w:t>
      </w:r>
      <w:r>
        <w:t>the</w:t>
      </w:r>
      <w:r>
        <w:rPr>
          <w:spacing w:val="-3"/>
        </w:rPr>
        <w:t xml:space="preserve"> </w:t>
      </w:r>
      <w:r>
        <w:t>Agreement</w:t>
      </w:r>
      <w:r>
        <w:rPr>
          <w:spacing w:val="-3"/>
        </w:rPr>
        <w:t xml:space="preserve"> </w:t>
      </w:r>
      <w:r>
        <w:t>(Table</w:t>
      </w:r>
      <w:r>
        <w:rPr>
          <w:spacing w:val="-3"/>
        </w:rPr>
        <w:t xml:space="preserve"> </w:t>
      </w:r>
      <w:r>
        <w:t>1)</w:t>
      </w:r>
      <w:r>
        <w:rPr>
          <w:spacing w:val="-2"/>
        </w:rPr>
        <w:t xml:space="preserve"> </w:t>
      </w:r>
      <w:r>
        <w:t>and</w:t>
      </w:r>
      <w:r>
        <w:rPr>
          <w:spacing w:val="-2"/>
        </w:rPr>
        <w:t xml:space="preserve"> </w:t>
      </w:r>
      <w:r>
        <w:t>reflects</w:t>
      </w:r>
      <w:r>
        <w:rPr>
          <w:spacing w:val="-1"/>
        </w:rPr>
        <w:t xml:space="preserve"> </w:t>
      </w:r>
      <w:r>
        <w:t>the</w:t>
      </w:r>
      <w:r>
        <w:rPr>
          <w:spacing w:val="-2"/>
        </w:rPr>
        <w:t xml:space="preserve"> </w:t>
      </w:r>
      <w:r>
        <w:t>objects</w:t>
      </w:r>
      <w:r>
        <w:rPr>
          <w:spacing w:val="-3"/>
        </w:rPr>
        <w:t xml:space="preserve"> </w:t>
      </w:r>
      <w:r>
        <w:t>of</w:t>
      </w:r>
      <w:r>
        <w:rPr>
          <w:spacing w:val="-2"/>
        </w:rPr>
        <w:t xml:space="preserve"> </w:t>
      </w:r>
      <w:r>
        <w:t>the EPBC Act. The Agreement’s aims are high-level and set the statutory framework within which the Agreement should operate.</w:t>
      </w:r>
    </w:p>
    <w:p w14:paraId="1FE797F4" w14:textId="77777777" w:rsidR="00483D15" w:rsidRDefault="00483D15">
      <w:pPr>
        <w:pStyle w:val="BodyText"/>
        <w:rPr>
          <w:sz w:val="20"/>
        </w:rPr>
      </w:pPr>
    </w:p>
    <w:p w14:paraId="12BD34A0" w14:textId="77777777" w:rsidR="00483D15" w:rsidRDefault="00483D15">
      <w:pPr>
        <w:pStyle w:val="BodyText"/>
        <w:rPr>
          <w:sz w:val="20"/>
        </w:rPr>
      </w:pPr>
    </w:p>
    <w:p w14:paraId="7F988E73" w14:textId="77777777" w:rsidR="00483D15" w:rsidRDefault="00483D15">
      <w:pPr>
        <w:pStyle w:val="BodyText"/>
        <w:rPr>
          <w:sz w:val="20"/>
        </w:rPr>
      </w:pPr>
    </w:p>
    <w:p w14:paraId="1A9DD80D" w14:textId="77777777" w:rsidR="00483D15" w:rsidRDefault="00483D15">
      <w:pPr>
        <w:pStyle w:val="BodyText"/>
        <w:rPr>
          <w:sz w:val="20"/>
        </w:rPr>
      </w:pPr>
    </w:p>
    <w:p w14:paraId="34763162" w14:textId="77777777" w:rsidR="00483D15" w:rsidRDefault="00483D15">
      <w:pPr>
        <w:pStyle w:val="BodyText"/>
        <w:rPr>
          <w:sz w:val="20"/>
        </w:rPr>
      </w:pPr>
    </w:p>
    <w:p w14:paraId="35513B18" w14:textId="77777777" w:rsidR="00483D15" w:rsidRDefault="00483D15">
      <w:pPr>
        <w:pStyle w:val="BodyText"/>
        <w:rPr>
          <w:sz w:val="20"/>
        </w:rPr>
      </w:pPr>
    </w:p>
    <w:p w14:paraId="0854CDEE" w14:textId="77777777" w:rsidR="00483D15" w:rsidRDefault="00483D15">
      <w:pPr>
        <w:pStyle w:val="BodyText"/>
        <w:rPr>
          <w:sz w:val="20"/>
        </w:rPr>
      </w:pPr>
    </w:p>
    <w:p w14:paraId="386CDE81" w14:textId="77777777" w:rsidR="00483D15" w:rsidRDefault="00483D15">
      <w:pPr>
        <w:pStyle w:val="BodyText"/>
        <w:rPr>
          <w:sz w:val="20"/>
        </w:rPr>
      </w:pPr>
    </w:p>
    <w:p w14:paraId="43A0D9CC" w14:textId="77777777" w:rsidR="00483D15" w:rsidRDefault="00483D15">
      <w:pPr>
        <w:pStyle w:val="BodyText"/>
        <w:rPr>
          <w:sz w:val="20"/>
        </w:rPr>
      </w:pPr>
    </w:p>
    <w:p w14:paraId="0CD04646" w14:textId="77777777" w:rsidR="00483D15" w:rsidRDefault="00483D15">
      <w:pPr>
        <w:pStyle w:val="BodyText"/>
        <w:rPr>
          <w:sz w:val="20"/>
        </w:rPr>
      </w:pPr>
    </w:p>
    <w:p w14:paraId="2D2492C5" w14:textId="77777777" w:rsidR="00483D15" w:rsidRDefault="00000000">
      <w:pPr>
        <w:pStyle w:val="BodyText"/>
        <w:spacing w:before="45"/>
        <w:rPr>
          <w:sz w:val="20"/>
        </w:rPr>
      </w:pPr>
      <w:r>
        <w:rPr>
          <w:noProof/>
          <w:sz w:val="20"/>
        </w:rPr>
        <mc:AlternateContent>
          <mc:Choice Requires="wps">
            <w:drawing>
              <wp:anchor distT="0" distB="0" distL="0" distR="0" simplePos="0" relativeHeight="487589376" behindDoc="1" locked="0" layoutInCell="1" allowOverlap="1" wp14:anchorId="5D9C1B1E" wp14:editId="48C935E6">
                <wp:simplePos x="0" y="0"/>
                <wp:positionH relativeFrom="page">
                  <wp:posOffset>914400</wp:posOffset>
                </wp:positionH>
                <wp:positionV relativeFrom="paragraph">
                  <wp:posOffset>199182</wp:posOffset>
                </wp:positionV>
                <wp:extent cx="1828800" cy="9525"/>
                <wp:effectExtent l="0" t="0" r="0" b="0"/>
                <wp:wrapTopAndBottom/>
                <wp:docPr id="5" name="Graphic 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828800" cy="9525"/>
                        </a:xfrm>
                        <a:custGeom>
                          <a:avLst/>
                          <a:gdLst/>
                          <a:ahLst/>
                          <a:cxnLst/>
                          <a:rect l="l" t="t" r="r" b="b"/>
                          <a:pathLst>
                            <a:path w="1828800" h="9525">
                              <a:moveTo>
                                <a:pt x="1828800" y="0"/>
                              </a:moveTo>
                              <a:lnTo>
                                <a:pt x="0" y="0"/>
                              </a:lnTo>
                              <a:lnTo>
                                <a:pt x="0" y="9144"/>
                              </a:lnTo>
                              <a:lnTo>
                                <a:pt x="1828800" y="9144"/>
                              </a:lnTo>
                              <a:lnTo>
                                <a:pt x="1828800"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595E2781" id="Graphic 5" o:spid="_x0000_s1026" style="position:absolute;margin-left:1in;margin-top:15.7pt;width:2in;height:.75pt;z-index:-15727104;visibility:visible;mso-wrap-style:square;mso-wrap-distance-left:0;mso-wrap-distance-top:0;mso-wrap-distance-right:0;mso-wrap-distance-bottom:0;mso-position-horizontal:absolute;mso-position-horizontal-relative:page;mso-position-vertical:absolute;mso-position-vertical-relative:text;v-text-anchor:top" coordsize="1828800,952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" path="m1828800,l,,,9144r1828800,l1828800,xe" fillcolor="black" stroked="f">
                <v:path arrowok="t"/>
                <w10:wrap type="topAndBottom" anchorx="page"/>
              </v:shape>
            </w:pict>
          </mc:Fallback>
        </mc:AlternateContent>
      </w:r>
    </w:p>
    <w:p w14:paraId="6F1F50E7" w14:textId="77777777" w:rsidR="00483D15" w:rsidRDefault="00000000">
      <w:pPr>
        <w:spacing w:before="217"/>
        <w:ind w:left="447" w:right="923"/>
        <w:rPr>
          <w:sz w:val="20"/>
        </w:rPr>
      </w:pPr>
      <w:bookmarkStart w:id="0" w:name="_bookmark0"/>
      <w:bookmarkEnd w:id="0"/>
      <w:r>
        <w:rPr>
          <w:rFonts w:ascii="Arial"/>
          <w:position w:val="7"/>
          <w:sz w:val="13"/>
        </w:rPr>
        <w:t>1</w:t>
      </w:r>
      <w:r>
        <w:rPr>
          <w:rFonts w:ascii="Arial"/>
          <w:spacing w:val="16"/>
          <w:position w:val="7"/>
          <w:sz w:val="13"/>
        </w:rPr>
        <w:t xml:space="preserve"> </w:t>
      </w:r>
      <w:r>
        <w:rPr>
          <w:sz w:val="20"/>
        </w:rPr>
        <w:t>The</w:t>
      </w:r>
      <w:r>
        <w:rPr>
          <w:spacing w:val="-2"/>
          <w:sz w:val="20"/>
        </w:rPr>
        <w:t xml:space="preserve"> </w:t>
      </w:r>
      <w:r>
        <w:rPr>
          <w:sz w:val="20"/>
        </w:rPr>
        <w:t>original</w:t>
      </w:r>
      <w:r>
        <w:rPr>
          <w:spacing w:val="-4"/>
          <w:sz w:val="20"/>
        </w:rPr>
        <w:t xml:space="preserve"> </w:t>
      </w:r>
      <w:r>
        <w:rPr>
          <w:sz w:val="20"/>
        </w:rPr>
        <w:t>2015</w:t>
      </w:r>
      <w:r>
        <w:rPr>
          <w:spacing w:val="-2"/>
          <w:sz w:val="20"/>
        </w:rPr>
        <w:t xml:space="preserve"> </w:t>
      </w:r>
      <w:r>
        <w:rPr>
          <w:sz w:val="20"/>
        </w:rPr>
        <w:t>Agreement</w:t>
      </w:r>
      <w:r>
        <w:rPr>
          <w:spacing w:val="-2"/>
          <w:sz w:val="20"/>
        </w:rPr>
        <w:t xml:space="preserve"> </w:t>
      </w:r>
      <w:r>
        <w:rPr>
          <w:sz w:val="20"/>
        </w:rPr>
        <w:t>was</w:t>
      </w:r>
      <w:r>
        <w:rPr>
          <w:spacing w:val="-3"/>
          <w:sz w:val="20"/>
        </w:rPr>
        <w:t xml:space="preserve"> </w:t>
      </w:r>
      <w:r>
        <w:rPr>
          <w:sz w:val="20"/>
        </w:rPr>
        <w:t>amended</w:t>
      </w:r>
      <w:r>
        <w:rPr>
          <w:spacing w:val="-2"/>
          <w:sz w:val="20"/>
        </w:rPr>
        <w:t xml:space="preserve"> </w:t>
      </w:r>
      <w:r>
        <w:rPr>
          <w:sz w:val="20"/>
        </w:rPr>
        <w:t>in</w:t>
      </w:r>
      <w:r>
        <w:rPr>
          <w:spacing w:val="-3"/>
          <w:sz w:val="20"/>
        </w:rPr>
        <w:t xml:space="preserve"> </w:t>
      </w:r>
      <w:r>
        <w:rPr>
          <w:sz w:val="20"/>
        </w:rPr>
        <w:t>2020,</w:t>
      </w:r>
      <w:r>
        <w:rPr>
          <w:spacing w:val="-2"/>
          <w:sz w:val="20"/>
        </w:rPr>
        <w:t xml:space="preserve"> </w:t>
      </w:r>
      <w:r>
        <w:rPr>
          <w:sz w:val="20"/>
        </w:rPr>
        <w:t>resulting</w:t>
      </w:r>
      <w:r>
        <w:rPr>
          <w:spacing w:val="-2"/>
          <w:sz w:val="20"/>
        </w:rPr>
        <w:t xml:space="preserve"> </w:t>
      </w:r>
      <w:r>
        <w:rPr>
          <w:sz w:val="20"/>
        </w:rPr>
        <w:t>from</w:t>
      </w:r>
      <w:r>
        <w:rPr>
          <w:spacing w:val="-3"/>
          <w:sz w:val="20"/>
        </w:rPr>
        <w:t xml:space="preserve"> </w:t>
      </w:r>
      <w:r>
        <w:rPr>
          <w:sz w:val="20"/>
        </w:rPr>
        <w:t>several</w:t>
      </w:r>
      <w:r>
        <w:rPr>
          <w:spacing w:val="-3"/>
          <w:sz w:val="20"/>
        </w:rPr>
        <w:t xml:space="preserve"> </w:t>
      </w:r>
      <w:r>
        <w:rPr>
          <w:sz w:val="20"/>
        </w:rPr>
        <w:t>changes</w:t>
      </w:r>
      <w:r>
        <w:rPr>
          <w:spacing w:val="-4"/>
          <w:sz w:val="20"/>
        </w:rPr>
        <w:t xml:space="preserve"> </w:t>
      </w:r>
      <w:r>
        <w:rPr>
          <w:sz w:val="20"/>
        </w:rPr>
        <w:t>to</w:t>
      </w:r>
      <w:r>
        <w:rPr>
          <w:spacing w:val="-2"/>
          <w:sz w:val="20"/>
        </w:rPr>
        <w:t xml:space="preserve"> </w:t>
      </w:r>
      <w:r>
        <w:rPr>
          <w:sz w:val="20"/>
        </w:rPr>
        <w:t>legislation</w:t>
      </w:r>
      <w:r>
        <w:rPr>
          <w:spacing w:val="-2"/>
          <w:sz w:val="20"/>
        </w:rPr>
        <w:t xml:space="preserve"> </w:t>
      </w:r>
      <w:r>
        <w:rPr>
          <w:sz w:val="20"/>
        </w:rPr>
        <w:t>related</w:t>
      </w:r>
      <w:r>
        <w:rPr>
          <w:spacing w:val="-2"/>
          <w:sz w:val="20"/>
        </w:rPr>
        <w:t xml:space="preserve"> </w:t>
      </w:r>
      <w:r>
        <w:rPr>
          <w:sz w:val="20"/>
        </w:rPr>
        <w:t xml:space="preserve">to the introduction of the </w:t>
      </w:r>
      <w:r>
        <w:rPr>
          <w:i/>
          <w:sz w:val="20"/>
        </w:rPr>
        <w:t xml:space="preserve">Biodiversity Conservation Act 2016 </w:t>
      </w:r>
      <w:r>
        <w:rPr>
          <w:sz w:val="20"/>
        </w:rPr>
        <w:t xml:space="preserve">(BC Act) and amendments to the </w:t>
      </w:r>
      <w:r>
        <w:rPr>
          <w:i/>
          <w:sz w:val="20"/>
        </w:rPr>
        <w:t xml:space="preserve">Environmental Planning and Assessment Act 1979 </w:t>
      </w:r>
      <w:r>
        <w:rPr>
          <w:sz w:val="20"/>
        </w:rPr>
        <w:t>(EP&amp;A Act).</w:t>
      </w:r>
    </w:p>
    <w:p w14:paraId="1F6F96BF" w14:textId="77777777" w:rsidR="00483D15" w:rsidRDefault="00483D15">
      <w:pPr>
        <w:rPr>
          <w:sz w:val="20"/>
        </w:rPr>
        <w:sectPr w:rsidR="00483D15">
          <w:pgSz w:w="11910" w:h="16840"/>
          <w:pgMar w:top="1800" w:right="566" w:bottom="1200" w:left="992" w:header="0" w:footer="1000" w:gutter="0"/>
          <w:cols w:space="720"/>
        </w:sectPr>
      </w:pPr>
    </w:p>
    <w:p w14:paraId="0137C0C7" w14:textId="315BD9BE" w:rsidR="00765A42" w:rsidRPr="00765A42" w:rsidRDefault="00765A42" w:rsidP="00765A42">
      <w:pPr>
        <w:pStyle w:val="Caption"/>
      </w:pPr>
      <w:r w:rsidRPr="00765A42">
        <w:lastRenderedPageBreak/>
        <w:t xml:space="preserve">Table 1 | Aims of the Agreement </w:t>
      </w:r>
    </w:p>
    <w:tbl>
      <w:tblPr>
        <w:tblStyle w:val="TableGrid"/>
        <w:tblW w:w="10685" w:type="dxa"/>
        <w:tblInd w:w="21" w:type="dxa"/>
        <w:tblLook w:val="04A0" w:firstRow="1" w:lastRow="0" w:firstColumn="1" w:lastColumn="0" w:noHBand="0" w:noVBand="1"/>
      </w:tblPr>
      <w:tblGrid>
        <w:gridCol w:w="10685"/>
      </w:tblGrid>
      <w:tr w:rsidR="00765A42" w14:paraId="7EC195BC" w14:textId="77777777" w:rsidTr="00765A42">
        <w:trPr>
          <w:trHeight w:val="1973"/>
        </w:trPr>
        <w:tc>
          <w:tcPr>
            <w:tcW w:w="10685" w:type="dxa"/>
            <w:shd w:val="clear" w:color="auto" w:fill="548DD4" w:themeFill="text2" w:themeFillTint="99"/>
          </w:tcPr>
          <w:p w14:paraId="7CB6A9F4" w14:textId="77777777" w:rsidR="00765A42" w:rsidRDefault="00765A42" w:rsidP="00765A42">
            <w:pPr>
              <w:numPr>
                <w:ilvl w:val="0"/>
                <w:numId w:val="31"/>
              </w:numPr>
              <w:tabs>
                <w:tab w:val="left" w:pos="430"/>
              </w:tabs>
              <w:spacing w:before="58" w:line="268" w:lineRule="exact"/>
              <w:ind w:hanging="373"/>
            </w:pPr>
            <w:r>
              <w:rPr>
                <w:color w:val="E7E6E6"/>
              </w:rPr>
              <w:t>ensure</w:t>
            </w:r>
            <w:r>
              <w:rPr>
                <w:color w:val="E7E6E6"/>
                <w:spacing w:val="-10"/>
              </w:rPr>
              <w:t xml:space="preserve"> </w:t>
            </w:r>
            <w:r>
              <w:rPr>
                <w:color w:val="E7E6E6"/>
              </w:rPr>
              <w:t>Australia</w:t>
            </w:r>
            <w:r>
              <w:rPr>
                <w:color w:val="E7E6E6"/>
                <w:spacing w:val="-9"/>
              </w:rPr>
              <w:t xml:space="preserve"> </w:t>
            </w:r>
            <w:r>
              <w:rPr>
                <w:color w:val="E7E6E6"/>
              </w:rPr>
              <w:t>complies</w:t>
            </w:r>
            <w:r>
              <w:rPr>
                <w:color w:val="E7E6E6"/>
                <w:spacing w:val="-8"/>
              </w:rPr>
              <w:t xml:space="preserve"> </w:t>
            </w:r>
            <w:r>
              <w:rPr>
                <w:color w:val="E7E6E6"/>
              </w:rPr>
              <w:t>fully</w:t>
            </w:r>
            <w:r>
              <w:rPr>
                <w:color w:val="E7E6E6"/>
                <w:spacing w:val="-10"/>
              </w:rPr>
              <w:t xml:space="preserve"> </w:t>
            </w:r>
            <w:r>
              <w:rPr>
                <w:color w:val="E7E6E6"/>
              </w:rPr>
              <w:t>with</w:t>
            </w:r>
            <w:r>
              <w:rPr>
                <w:color w:val="E7E6E6"/>
                <w:spacing w:val="-9"/>
              </w:rPr>
              <w:t xml:space="preserve"> </w:t>
            </w:r>
            <w:r>
              <w:rPr>
                <w:color w:val="E7E6E6"/>
              </w:rPr>
              <w:t>its</w:t>
            </w:r>
            <w:r>
              <w:rPr>
                <w:color w:val="E7E6E6"/>
                <w:spacing w:val="-10"/>
              </w:rPr>
              <w:t xml:space="preserve"> </w:t>
            </w:r>
            <w:r>
              <w:rPr>
                <w:color w:val="E7E6E6"/>
              </w:rPr>
              <w:t>international</w:t>
            </w:r>
            <w:r>
              <w:rPr>
                <w:color w:val="E7E6E6"/>
                <w:spacing w:val="-8"/>
              </w:rPr>
              <w:t xml:space="preserve"> </w:t>
            </w:r>
            <w:r>
              <w:rPr>
                <w:color w:val="E7E6E6"/>
              </w:rPr>
              <w:t>environmental</w:t>
            </w:r>
            <w:r>
              <w:rPr>
                <w:color w:val="E7E6E6"/>
                <w:spacing w:val="-9"/>
              </w:rPr>
              <w:t xml:space="preserve"> </w:t>
            </w:r>
            <w:r>
              <w:rPr>
                <w:color w:val="E7E6E6"/>
                <w:spacing w:val="-2"/>
              </w:rPr>
              <w:t>obligations;</w:t>
            </w:r>
          </w:p>
          <w:p w14:paraId="06A2F818" w14:textId="77777777" w:rsidR="00765A42" w:rsidRDefault="00765A42" w:rsidP="00765A42">
            <w:pPr>
              <w:numPr>
                <w:ilvl w:val="0"/>
                <w:numId w:val="31"/>
              </w:numPr>
              <w:tabs>
                <w:tab w:val="left" w:pos="430"/>
              </w:tabs>
              <w:spacing w:line="268" w:lineRule="exact"/>
              <w:ind w:hanging="373"/>
            </w:pPr>
            <w:r>
              <w:rPr>
                <w:color w:val="E7E6E6"/>
              </w:rPr>
              <w:t>ensure</w:t>
            </w:r>
            <w:r>
              <w:rPr>
                <w:color w:val="E7E6E6"/>
                <w:spacing w:val="-7"/>
              </w:rPr>
              <w:t xml:space="preserve"> </w:t>
            </w:r>
            <w:r>
              <w:rPr>
                <w:color w:val="E7E6E6"/>
              </w:rPr>
              <w:t>Matters</w:t>
            </w:r>
            <w:r>
              <w:rPr>
                <w:color w:val="E7E6E6"/>
                <w:spacing w:val="-7"/>
              </w:rPr>
              <w:t xml:space="preserve"> </w:t>
            </w:r>
            <w:r>
              <w:rPr>
                <w:color w:val="E7E6E6"/>
              </w:rPr>
              <w:t>of</w:t>
            </w:r>
            <w:r>
              <w:rPr>
                <w:color w:val="E7E6E6"/>
                <w:spacing w:val="-7"/>
              </w:rPr>
              <w:t xml:space="preserve"> </w:t>
            </w:r>
            <w:r>
              <w:rPr>
                <w:color w:val="E7E6E6"/>
              </w:rPr>
              <w:t>NES</w:t>
            </w:r>
            <w:r>
              <w:rPr>
                <w:color w:val="E7E6E6"/>
                <w:spacing w:val="-6"/>
              </w:rPr>
              <w:t xml:space="preserve"> </w:t>
            </w:r>
            <w:r>
              <w:rPr>
                <w:color w:val="E7E6E6"/>
              </w:rPr>
              <w:t>are</w:t>
            </w:r>
            <w:r>
              <w:rPr>
                <w:color w:val="E7E6E6"/>
                <w:spacing w:val="-6"/>
              </w:rPr>
              <w:t xml:space="preserve"> </w:t>
            </w:r>
            <w:r>
              <w:rPr>
                <w:color w:val="E7E6E6"/>
              </w:rPr>
              <w:t>protected</w:t>
            </w:r>
            <w:r>
              <w:rPr>
                <w:color w:val="E7E6E6"/>
                <w:spacing w:val="-7"/>
              </w:rPr>
              <w:t xml:space="preserve"> </w:t>
            </w:r>
            <w:r>
              <w:rPr>
                <w:color w:val="E7E6E6"/>
              </w:rPr>
              <w:t>as</w:t>
            </w:r>
            <w:r>
              <w:rPr>
                <w:color w:val="E7E6E6"/>
                <w:spacing w:val="-5"/>
              </w:rPr>
              <w:t xml:space="preserve"> </w:t>
            </w:r>
            <w:r>
              <w:rPr>
                <w:color w:val="E7E6E6"/>
              </w:rPr>
              <w:t>required</w:t>
            </w:r>
            <w:r>
              <w:rPr>
                <w:color w:val="E7E6E6"/>
                <w:spacing w:val="-6"/>
              </w:rPr>
              <w:t xml:space="preserve"> </w:t>
            </w:r>
            <w:r>
              <w:rPr>
                <w:color w:val="E7E6E6"/>
              </w:rPr>
              <w:t>under</w:t>
            </w:r>
            <w:r>
              <w:rPr>
                <w:color w:val="E7E6E6"/>
                <w:spacing w:val="-7"/>
              </w:rPr>
              <w:t xml:space="preserve"> </w:t>
            </w:r>
            <w:r>
              <w:rPr>
                <w:color w:val="E7E6E6"/>
              </w:rPr>
              <w:t>the</w:t>
            </w:r>
            <w:r>
              <w:rPr>
                <w:color w:val="E7E6E6"/>
                <w:spacing w:val="-6"/>
              </w:rPr>
              <w:t xml:space="preserve"> </w:t>
            </w:r>
            <w:r>
              <w:rPr>
                <w:color w:val="E7E6E6"/>
              </w:rPr>
              <w:t>EPBC</w:t>
            </w:r>
            <w:r>
              <w:rPr>
                <w:color w:val="E7E6E6"/>
                <w:spacing w:val="-7"/>
              </w:rPr>
              <w:t xml:space="preserve"> </w:t>
            </w:r>
            <w:r>
              <w:rPr>
                <w:color w:val="E7E6E6"/>
                <w:spacing w:val="-4"/>
              </w:rPr>
              <w:t>Act;</w:t>
            </w:r>
          </w:p>
          <w:p w14:paraId="35146D56" w14:textId="77777777" w:rsidR="00765A42" w:rsidRDefault="00765A42" w:rsidP="00765A42">
            <w:pPr>
              <w:numPr>
                <w:ilvl w:val="0"/>
                <w:numId w:val="31"/>
              </w:numPr>
              <w:tabs>
                <w:tab w:val="left" w:pos="430"/>
              </w:tabs>
              <w:ind w:hanging="373"/>
            </w:pPr>
            <w:r>
              <w:rPr>
                <w:color w:val="E7E6E6"/>
              </w:rPr>
              <w:t>promote</w:t>
            </w:r>
            <w:r>
              <w:rPr>
                <w:color w:val="E7E6E6"/>
                <w:spacing w:val="-9"/>
              </w:rPr>
              <w:t xml:space="preserve"> </w:t>
            </w:r>
            <w:r>
              <w:rPr>
                <w:color w:val="E7E6E6"/>
              </w:rPr>
              <w:t>the</w:t>
            </w:r>
            <w:r>
              <w:rPr>
                <w:color w:val="E7E6E6"/>
                <w:spacing w:val="-8"/>
              </w:rPr>
              <w:t xml:space="preserve"> </w:t>
            </w:r>
            <w:r>
              <w:rPr>
                <w:color w:val="E7E6E6"/>
              </w:rPr>
              <w:t>conservation</w:t>
            </w:r>
            <w:r>
              <w:rPr>
                <w:color w:val="E7E6E6"/>
                <w:spacing w:val="-8"/>
              </w:rPr>
              <w:t xml:space="preserve"> </w:t>
            </w:r>
            <w:r>
              <w:rPr>
                <w:color w:val="E7E6E6"/>
              </w:rPr>
              <w:t>and</w:t>
            </w:r>
            <w:r>
              <w:rPr>
                <w:color w:val="E7E6E6"/>
                <w:spacing w:val="-9"/>
              </w:rPr>
              <w:t xml:space="preserve"> </w:t>
            </w:r>
            <w:r>
              <w:rPr>
                <w:color w:val="E7E6E6"/>
              </w:rPr>
              <w:t>ecologically</w:t>
            </w:r>
            <w:r>
              <w:rPr>
                <w:color w:val="E7E6E6"/>
                <w:spacing w:val="-8"/>
              </w:rPr>
              <w:t xml:space="preserve"> </w:t>
            </w:r>
            <w:r>
              <w:rPr>
                <w:color w:val="E7E6E6"/>
              </w:rPr>
              <w:t>sustainable</w:t>
            </w:r>
            <w:r>
              <w:rPr>
                <w:color w:val="E7E6E6"/>
                <w:spacing w:val="-9"/>
              </w:rPr>
              <w:t xml:space="preserve"> </w:t>
            </w:r>
            <w:r>
              <w:rPr>
                <w:color w:val="E7E6E6"/>
              </w:rPr>
              <w:t>use</w:t>
            </w:r>
            <w:r>
              <w:rPr>
                <w:color w:val="E7E6E6"/>
                <w:spacing w:val="-9"/>
              </w:rPr>
              <w:t xml:space="preserve"> </w:t>
            </w:r>
            <w:r>
              <w:rPr>
                <w:color w:val="E7E6E6"/>
              </w:rPr>
              <w:t>of</w:t>
            </w:r>
            <w:r>
              <w:rPr>
                <w:color w:val="E7E6E6"/>
                <w:spacing w:val="-8"/>
              </w:rPr>
              <w:t xml:space="preserve"> </w:t>
            </w:r>
            <w:r>
              <w:rPr>
                <w:color w:val="E7E6E6"/>
              </w:rPr>
              <w:t>natural</w:t>
            </w:r>
            <w:r>
              <w:rPr>
                <w:color w:val="E7E6E6"/>
                <w:spacing w:val="-9"/>
              </w:rPr>
              <w:t xml:space="preserve"> </w:t>
            </w:r>
            <w:r>
              <w:rPr>
                <w:color w:val="E7E6E6"/>
                <w:spacing w:val="-2"/>
              </w:rPr>
              <w:t>resources;</w:t>
            </w:r>
          </w:p>
          <w:p w14:paraId="6BB3540E" w14:textId="77777777" w:rsidR="00765A42" w:rsidRDefault="00765A42" w:rsidP="00765A42">
            <w:pPr>
              <w:numPr>
                <w:ilvl w:val="0"/>
                <w:numId w:val="31"/>
              </w:numPr>
              <w:tabs>
                <w:tab w:val="left" w:pos="430"/>
              </w:tabs>
              <w:ind w:right="661"/>
            </w:pPr>
            <w:r>
              <w:rPr>
                <w:color w:val="E7E6E6"/>
              </w:rPr>
              <w:t>ensure</w:t>
            </w:r>
            <w:r>
              <w:rPr>
                <w:color w:val="E7E6E6"/>
                <w:spacing w:val="-4"/>
              </w:rPr>
              <w:t xml:space="preserve"> </w:t>
            </w:r>
            <w:r>
              <w:rPr>
                <w:color w:val="E7E6E6"/>
              </w:rPr>
              <w:t>an</w:t>
            </w:r>
            <w:r>
              <w:rPr>
                <w:color w:val="E7E6E6"/>
                <w:spacing w:val="-3"/>
              </w:rPr>
              <w:t xml:space="preserve"> </w:t>
            </w:r>
            <w:r>
              <w:rPr>
                <w:color w:val="E7E6E6"/>
              </w:rPr>
              <w:t>efficient,</w:t>
            </w:r>
            <w:r>
              <w:rPr>
                <w:color w:val="E7E6E6"/>
                <w:spacing w:val="-4"/>
              </w:rPr>
              <w:t xml:space="preserve"> </w:t>
            </w:r>
            <w:r>
              <w:rPr>
                <w:color w:val="E7E6E6"/>
              </w:rPr>
              <w:t>timely</w:t>
            </w:r>
            <w:r>
              <w:rPr>
                <w:color w:val="E7E6E6"/>
                <w:spacing w:val="-3"/>
              </w:rPr>
              <w:t xml:space="preserve"> </w:t>
            </w:r>
            <w:r>
              <w:rPr>
                <w:color w:val="E7E6E6"/>
              </w:rPr>
              <w:t>and</w:t>
            </w:r>
            <w:r>
              <w:rPr>
                <w:color w:val="E7E6E6"/>
                <w:spacing w:val="-4"/>
              </w:rPr>
              <w:t xml:space="preserve"> </w:t>
            </w:r>
            <w:r>
              <w:rPr>
                <w:color w:val="E7E6E6"/>
              </w:rPr>
              <w:t>effective</w:t>
            </w:r>
            <w:r>
              <w:rPr>
                <w:color w:val="E7E6E6"/>
                <w:spacing w:val="-2"/>
              </w:rPr>
              <w:t xml:space="preserve"> </w:t>
            </w:r>
            <w:r>
              <w:rPr>
                <w:color w:val="E7E6E6"/>
              </w:rPr>
              <w:t>process</w:t>
            </w:r>
            <w:r>
              <w:rPr>
                <w:color w:val="E7E6E6"/>
                <w:spacing w:val="-4"/>
              </w:rPr>
              <w:t xml:space="preserve"> </w:t>
            </w:r>
            <w:r>
              <w:rPr>
                <w:color w:val="E7E6E6"/>
              </w:rPr>
              <w:t>of</w:t>
            </w:r>
            <w:r>
              <w:rPr>
                <w:color w:val="E7E6E6"/>
                <w:spacing w:val="-4"/>
              </w:rPr>
              <w:t xml:space="preserve"> </w:t>
            </w:r>
            <w:r>
              <w:rPr>
                <w:color w:val="E7E6E6"/>
              </w:rPr>
              <w:t>environmental</w:t>
            </w:r>
            <w:r>
              <w:rPr>
                <w:color w:val="E7E6E6"/>
                <w:spacing w:val="-3"/>
              </w:rPr>
              <w:t xml:space="preserve"> </w:t>
            </w:r>
            <w:r>
              <w:rPr>
                <w:color w:val="E7E6E6"/>
              </w:rPr>
              <w:t>assessment</w:t>
            </w:r>
            <w:r>
              <w:rPr>
                <w:color w:val="E7E6E6"/>
                <w:spacing w:val="-4"/>
              </w:rPr>
              <w:t xml:space="preserve"> </w:t>
            </w:r>
            <w:r>
              <w:rPr>
                <w:color w:val="E7E6E6"/>
              </w:rPr>
              <w:t>and</w:t>
            </w:r>
            <w:r>
              <w:rPr>
                <w:color w:val="E7E6E6"/>
                <w:spacing w:val="-4"/>
              </w:rPr>
              <w:t xml:space="preserve"> </w:t>
            </w:r>
            <w:r>
              <w:rPr>
                <w:color w:val="E7E6E6"/>
              </w:rPr>
              <w:t>approval</w:t>
            </w:r>
            <w:r>
              <w:rPr>
                <w:color w:val="E7E6E6"/>
                <w:spacing w:val="-4"/>
              </w:rPr>
              <w:t xml:space="preserve"> </w:t>
            </w:r>
            <w:r>
              <w:rPr>
                <w:color w:val="E7E6E6"/>
              </w:rPr>
              <w:t>of actions; and</w:t>
            </w:r>
          </w:p>
          <w:p w14:paraId="59AC98CB" w14:textId="77777777" w:rsidR="00765A42" w:rsidRDefault="00765A42" w:rsidP="00765A42">
            <w:pPr>
              <w:numPr>
                <w:ilvl w:val="0"/>
                <w:numId w:val="31"/>
              </w:numPr>
              <w:tabs>
                <w:tab w:val="left" w:pos="430"/>
              </w:tabs>
              <w:spacing w:before="1"/>
              <w:ind w:right="1469"/>
            </w:pPr>
            <w:proofErr w:type="spellStart"/>
            <w:r>
              <w:rPr>
                <w:color w:val="E7E6E6"/>
              </w:rPr>
              <w:t>minimise</w:t>
            </w:r>
            <w:proofErr w:type="spellEnd"/>
            <w:r>
              <w:rPr>
                <w:color w:val="E7E6E6"/>
                <w:spacing w:val="-4"/>
              </w:rPr>
              <w:t xml:space="preserve"> </w:t>
            </w:r>
            <w:r>
              <w:rPr>
                <w:color w:val="E7E6E6"/>
              </w:rPr>
              <w:t>duplication</w:t>
            </w:r>
            <w:r>
              <w:rPr>
                <w:color w:val="E7E6E6"/>
                <w:spacing w:val="-5"/>
              </w:rPr>
              <w:t xml:space="preserve"> </w:t>
            </w:r>
            <w:r>
              <w:rPr>
                <w:color w:val="E7E6E6"/>
              </w:rPr>
              <w:t>in</w:t>
            </w:r>
            <w:r>
              <w:rPr>
                <w:color w:val="E7E6E6"/>
                <w:spacing w:val="-4"/>
              </w:rPr>
              <w:t xml:space="preserve"> </w:t>
            </w:r>
            <w:r>
              <w:rPr>
                <w:color w:val="E7E6E6"/>
              </w:rPr>
              <w:t>the</w:t>
            </w:r>
            <w:r>
              <w:rPr>
                <w:color w:val="E7E6E6"/>
                <w:spacing w:val="-4"/>
              </w:rPr>
              <w:t xml:space="preserve"> </w:t>
            </w:r>
            <w:r>
              <w:rPr>
                <w:color w:val="E7E6E6"/>
              </w:rPr>
              <w:t>environmental</w:t>
            </w:r>
            <w:r>
              <w:rPr>
                <w:color w:val="E7E6E6"/>
                <w:spacing w:val="-5"/>
              </w:rPr>
              <w:t xml:space="preserve"> </w:t>
            </w:r>
            <w:r>
              <w:rPr>
                <w:color w:val="E7E6E6"/>
              </w:rPr>
              <w:t>assessment</w:t>
            </w:r>
            <w:r>
              <w:rPr>
                <w:color w:val="E7E6E6"/>
                <w:spacing w:val="-5"/>
              </w:rPr>
              <w:t xml:space="preserve"> </w:t>
            </w:r>
            <w:r>
              <w:rPr>
                <w:color w:val="E7E6E6"/>
              </w:rPr>
              <w:t>and</w:t>
            </w:r>
            <w:r>
              <w:rPr>
                <w:color w:val="E7E6E6"/>
                <w:spacing w:val="-4"/>
              </w:rPr>
              <w:t xml:space="preserve"> </w:t>
            </w:r>
            <w:r>
              <w:rPr>
                <w:color w:val="E7E6E6"/>
              </w:rPr>
              <w:t>approval</w:t>
            </w:r>
            <w:r>
              <w:rPr>
                <w:color w:val="E7E6E6"/>
                <w:spacing w:val="-5"/>
              </w:rPr>
              <w:t xml:space="preserve"> </w:t>
            </w:r>
            <w:r>
              <w:rPr>
                <w:color w:val="E7E6E6"/>
              </w:rPr>
              <w:t>processes</w:t>
            </w:r>
            <w:r>
              <w:rPr>
                <w:color w:val="E7E6E6"/>
                <w:spacing w:val="-3"/>
              </w:rPr>
              <w:t xml:space="preserve"> </w:t>
            </w:r>
            <w:r>
              <w:rPr>
                <w:color w:val="E7E6E6"/>
              </w:rPr>
              <w:t>of</w:t>
            </w:r>
            <w:r>
              <w:rPr>
                <w:color w:val="E7E6E6"/>
                <w:spacing w:val="-5"/>
              </w:rPr>
              <w:t xml:space="preserve"> </w:t>
            </w:r>
            <w:r>
              <w:rPr>
                <w:color w:val="E7E6E6"/>
              </w:rPr>
              <w:t>the Commonwealth and NSW.</w:t>
            </w:r>
          </w:p>
          <w:p w14:paraId="23B8AC95" w14:textId="77777777" w:rsidR="00765A42" w:rsidRDefault="00765A42">
            <w:pPr>
              <w:pStyle w:val="BodyText"/>
              <w:spacing w:before="42"/>
            </w:pPr>
          </w:p>
        </w:tc>
      </w:tr>
    </w:tbl>
    <w:p w14:paraId="16F6D55C" w14:textId="254C752B" w:rsidR="00483D15" w:rsidRDefault="00483D15">
      <w:pPr>
        <w:pStyle w:val="BodyText"/>
        <w:spacing w:before="42"/>
        <w:ind w:left="21"/>
      </w:pPr>
    </w:p>
    <w:p w14:paraId="6435C415" w14:textId="77777777" w:rsidR="00483D15" w:rsidRDefault="00000000">
      <w:pPr>
        <w:pStyle w:val="BodyText"/>
        <w:spacing w:before="1" w:line="360" w:lineRule="auto"/>
        <w:ind w:left="22" w:right="923"/>
      </w:pPr>
      <w:r>
        <w:t>The</w:t>
      </w:r>
      <w:r>
        <w:rPr>
          <w:spacing w:val="-3"/>
        </w:rPr>
        <w:t xml:space="preserve"> </w:t>
      </w:r>
      <w:r>
        <w:t>Agreement</w:t>
      </w:r>
      <w:r>
        <w:rPr>
          <w:spacing w:val="-3"/>
        </w:rPr>
        <w:t xml:space="preserve"> </w:t>
      </w:r>
      <w:r>
        <w:t>requires</w:t>
      </w:r>
      <w:r>
        <w:rPr>
          <w:spacing w:val="-1"/>
        </w:rPr>
        <w:t xml:space="preserve"> </w:t>
      </w:r>
      <w:r>
        <w:t>that</w:t>
      </w:r>
      <w:r>
        <w:rPr>
          <w:spacing w:val="-3"/>
        </w:rPr>
        <w:t xml:space="preserve"> </w:t>
      </w:r>
      <w:r>
        <w:t>a</w:t>
      </w:r>
      <w:r>
        <w:rPr>
          <w:spacing w:val="-3"/>
        </w:rPr>
        <w:t xml:space="preserve"> </w:t>
      </w:r>
      <w:r>
        <w:t>review</w:t>
      </w:r>
      <w:r>
        <w:rPr>
          <w:spacing w:val="-2"/>
        </w:rPr>
        <w:t xml:space="preserve"> </w:t>
      </w:r>
      <w:r>
        <w:t>of</w:t>
      </w:r>
      <w:r>
        <w:rPr>
          <w:spacing w:val="-3"/>
        </w:rPr>
        <w:t xml:space="preserve"> </w:t>
      </w:r>
      <w:r>
        <w:t>its</w:t>
      </w:r>
      <w:r>
        <w:rPr>
          <w:spacing w:val="-3"/>
        </w:rPr>
        <w:t xml:space="preserve"> </w:t>
      </w:r>
      <w:r>
        <w:t>operation</w:t>
      </w:r>
      <w:r>
        <w:rPr>
          <w:spacing w:val="-2"/>
        </w:rPr>
        <w:t xml:space="preserve"> </w:t>
      </w:r>
      <w:r>
        <w:t>must</w:t>
      </w:r>
      <w:r>
        <w:rPr>
          <w:spacing w:val="-2"/>
        </w:rPr>
        <w:t xml:space="preserve"> </w:t>
      </w:r>
      <w:r>
        <w:t>be</w:t>
      </w:r>
      <w:r>
        <w:rPr>
          <w:spacing w:val="-2"/>
        </w:rPr>
        <w:t xml:space="preserve"> </w:t>
      </w:r>
      <w:r>
        <w:t>carried</w:t>
      </w:r>
      <w:r>
        <w:rPr>
          <w:spacing w:val="-3"/>
        </w:rPr>
        <w:t xml:space="preserve"> </w:t>
      </w:r>
      <w:r>
        <w:t>out</w:t>
      </w:r>
      <w:r>
        <w:rPr>
          <w:spacing w:val="-2"/>
        </w:rPr>
        <w:t xml:space="preserve"> </w:t>
      </w:r>
      <w:r>
        <w:t>at</w:t>
      </w:r>
      <w:r>
        <w:rPr>
          <w:spacing w:val="-2"/>
        </w:rPr>
        <w:t xml:space="preserve"> </w:t>
      </w:r>
      <w:r>
        <w:t>least</w:t>
      </w:r>
      <w:r>
        <w:rPr>
          <w:spacing w:val="-3"/>
        </w:rPr>
        <w:t xml:space="preserve"> </w:t>
      </w:r>
      <w:r>
        <w:t>once</w:t>
      </w:r>
      <w:r>
        <w:rPr>
          <w:spacing w:val="-3"/>
        </w:rPr>
        <w:t xml:space="preserve"> </w:t>
      </w:r>
      <w:r>
        <w:t>every</w:t>
      </w:r>
      <w:r>
        <w:rPr>
          <w:spacing w:val="-2"/>
        </w:rPr>
        <w:t xml:space="preserve"> </w:t>
      </w:r>
      <w:r>
        <w:t>five</w:t>
      </w:r>
      <w:r>
        <w:rPr>
          <w:spacing w:val="-3"/>
        </w:rPr>
        <w:t xml:space="preserve"> </w:t>
      </w:r>
      <w:r>
        <w:t>years while the Agreement remains in effect, in accordance with section 65 of the EPBC Act.</w:t>
      </w:r>
    </w:p>
    <w:p w14:paraId="7DB03843" w14:textId="77777777" w:rsidR="00483D15" w:rsidRDefault="00000000">
      <w:pPr>
        <w:pStyle w:val="BodyText"/>
        <w:spacing w:before="120" w:line="360" w:lineRule="auto"/>
        <w:ind w:left="22" w:right="876"/>
      </w:pPr>
      <w:r>
        <w:t>A</w:t>
      </w:r>
      <w:r>
        <w:rPr>
          <w:spacing w:val="-3"/>
        </w:rPr>
        <w:t xml:space="preserve"> </w:t>
      </w:r>
      <w:r>
        <w:t>non-statutory</w:t>
      </w:r>
      <w:r>
        <w:rPr>
          <w:spacing w:val="-3"/>
        </w:rPr>
        <w:t xml:space="preserve"> </w:t>
      </w:r>
      <w:r>
        <w:t>transitional</w:t>
      </w:r>
      <w:r>
        <w:rPr>
          <w:spacing w:val="-3"/>
        </w:rPr>
        <w:t xml:space="preserve"> </w:t>
      </w:r>
      <w:r>
        <w:t>review</w:t>
      </w:r>
      <w:r>
        <w:rPr>
          <w:spacing w:val="-3"/>
        </w:rPr>
        <w:t xml:space="preserve"> </w:t>
      </w:r>
      <w:r>
        <w:t>of</w:t>
      </w:r>
      <w:r>
        <w:rPr>
          <w:spacing w:val="-2"/>
        </w:rPr>
        <w:t xml:space="preserve"> </w:t>
      </w:r>
      <w:r>
        <w:t>the</w:t>
      </w:r>
      <w:r>
        <w:rPr>
          <w:spacing w:val="-3"/>
        </w:rPr>
        <w:t xml:space="preserve"> </w:t>
      </w:r>
      <w:r>
        <w:t>Agreement</w:t>
      </w:r>
      <w:r>
        <w:rPr>
          <w:spacing w:val="-3"/>
        </w:rPr>
        <w:t xml:space="preserve"> </w:t>
      </w:r>
      <w:r>
        <w:t>was</w:t>
      </w:r>
      <w:r>
        <w:rPr>
          <w:spacing w:val="-3"/>
        </w:rPr>
        <w:t xml:space="preserve"> </w:t>
      </w:r>
      <w:r>
        <w:t>undertaken</w:t>
      </w:r>
      <w:r>
        <w:rPr>
          <w:spacing w:val="-2"/>
        </w:rPr>
        <w:t xml:space="preserve"> </w:t>
      </w:r>
      <w:r>
        <w:t>covering</w:t>
      </w:r>
      <w:r>
        <w:rPr>
          <w:spacing w:val="-3"/>
        </w:rPr>
        <w:t xml:space="preserve"> </w:t>
      </w:r>
      <w:r>
        <w:t>the</w:t>
      </w:r>
      <w:r>
        <w:rPr>
          <w:spacing w:val="-3"/>
        </w:rPr>
        <w:t xml:space="preserve"> </w:t>
      </w:r>
      <w:r>
        <w:t>24</w:t>
      </w:r>
      <w:r>
        <w:rPr>
          <w:spacing w:val="-2"/>
        </w:rPr>
        <w:t xml:space="preserve"> </w:t>
      </w:r>
      <w:r>
        <w:t>months</w:t>
      </w:r>
      <w:r>
        <w:rPr>
          <w:spacing w:val="-3"/>
        </w:rPr>
        <w:t xml:space="preserve"> </w:t>
      </w:r>
      <w:r>
        <w:t>from</w:t>
      </w:r>
      <w:r>
        <w:rPr>
          <w:spacing w:val="-3"/>
        </w:rPr>
        <w:t xml:space="preserve"> </w:t>
      </w:r>
      <w:r>
        <w:t>when it commenced. The review identified that the parties had made significant progress in implementing the Agreement, and that some aspects of the Agreement’s operation could be improved (Appendix B).</w:t>
      </w:r>
    </w:p>
    <w:p w14:paraId="6C6B4BFD" w14:textId="77777777" w:rsidR="00483D15" w:rsidRDefault="00000000">
      <w:pPr>
        <w:pStyle w:val="BodyText"/>
        <w:spacing w:before="121" w:line="360" w:lineRule="auto"/>
        <w:ind w:left="21" w:right="923"/>
      </w:pPr>
      <w:r>
        <w:t xml:space="preserve">Many of the recommendations of that review have since been or are being addressed through the Bilateral Implementation Framework (BIF). The BIF was formally introduced in 2018, although most elements have been in place since the start of the Agreement in 2015. The BIF provides detailed information on how the NSW and Australian Government agencies implement the Agreement. Overall, there are seven (7) key components of the BIF grouped </w:t>
      </w:r>
      <w:proofErr w:type="gramStart"/>
      <w:r>
        <w:t>in to</w:t>
      </w:r>
      <w:proofErr w:type="gramEnd"/>
      <w:r>
        <w:t xml:space="preserve"> three subsets: </w:t>
      </w:r>
      <w:r>
        <w:rPr>
          <w:i/>
        </w:rPr>
        <w:t xml:space="preserve">foundation </w:t>
      </w:r>
      <w:r>
        <w:t xml:space="preserve">documents, </w:t>
      </w:r>
      <w:r>
        <w:rPr>
          <w:i/>
        </w:rPr>
        <w:t>administration</w:t>
      </w:r>
      <w:r>
        <w:rPr>
          <w:i/>
          <w:spacing w:val="-5"/>
        </w:rPr>
        <w:t xml:space="preserve"> </w:t>
      </w:r>
      <w:r>
        <w:t>procedures</w:t>
      </w:r>
      <w:r>
        <w:rPr>
          <w:spacing w:val="-3"/>
        </w:rPr>
        <w:t xml:space="preserve"> </w:t>
      </w:r>
      <w:r>
        <w:t>and</w:t>
      </w:r>
      <w:r>
        <w:rPr>
          <w:spacing w:val="-5"/>
        </w:rPr>
        <w:t xml:space="preserve"> </w:t>
      </w:r>
      <w:r>
        <w:t>strategies,</w:t>
      </w:r>
      <w:r>
        <w:rPr>
          <w:spacing w:val="-5"/>
        </w:rPr>
        <w:t xml:space="preserve"> </w:t>
      </w:r>
      <w:r>
        <w:t>and</w:t>
      </w:r>
      <w:r>
        <w:rPr>
          <w:spacing w:val="-5"/>
        </w:rPr>
        <w:t xml:space="preserve"> </w:t>
      </w:r>
      <w:r>
        <w:rPr>
          <w:i/>
        </w:rPr>
        <w:t>governance</w:t>
      </w:r>
      <w:r>
        <w:rPr>
          <w:i/>
          <w:spacing w:val="-4"/>
        </w:rPr>
        <w:t xml:space="preserve"> </w:t>
      </w:r>
      <w:r>
        <w:t>structures</w:t>
      </w:r>
      <w:r>
        <w:rPr>
          <w:spacing w:val="-5"/>
        </w:rPr>
        <w:t xml:space="preserve"> </w:t>
      </w:r>
      <w:r>
        <w:t>to</w:t>
      </w:r>
      <w:r>
        <w:rPr>
          <w:spacing w:val="-4"/>
        </w:rPr>
        <w:t xml:space="preserve"> </w:t>
      </w:r>
      <w:r>
        <w:t>support</w:t>
      </w:r>
      <w:r>
        <w:rPr>
          <w:spacing w:val="-4"/>
        </w:rPr>
        <w:t xml:space="preserve"> </w:t>
      </w:r>
      <w:r>
        <w:t>implementation</w:t>
      </w:r>
      <w:r>
        <w:rPr>
          <w:spacing w:val="-5"/>
        </w:rPr>
        <w:t xml:space="preserve"> </w:t>
      </w:r>
      <w:r>
        <w:t xml:space="preserve">(Figure </w:t>
      </w:r>
      <w:r>
        <w:rPr>
          <w:spacing w:val="-4"/>
        </w:rPr>
        <w:t>1).</w:t>
      </w:r>
    </w:p>
    <w:p w14:paraId="6B4F073E" w14:textId="77777777" w:rsidR="00483D15" w:rsidRDefault="00000000" w:rsidP="00765A42">
      <w:pPr>
        <w:pStyle w:val="Caption"/>
      </w:pPr>
      <w:r>
        <w:t>Figure</w:t>
      </w:r>
      <w:r>
        <w:rPr>
          <w:spacing w:val="-11"/>
        </w:rPr>
        <w:t xml:space="preserve"> </w:t>
      </w:r>
      <w:r>
        <w:t>1:</w:t>
      </w:r>
      <w:r>
        <w:rPr>
          <w:spacing w:val="-9"/>
        </w:rPr>
        <w:t xml:space="preserve"> </w:t>
      </w:r>
      <w:r>
        <w:t>Bilateral</w:t>
      </w:r>
      <w:r>
        <w:rPr>
          <w:spacing w:val="-10"/>
        </w:rPr>
        <w:t xml:space="preserve"> </w:t>
      </w:r>
      <w:r>
        <w:t>Implementation</w:t>
      </w:r>
      <w:r>
        <w:rPr>
          <w:spacing w:val="-10"/>
        </w:rPr>
        <w:t xml:space="preserve"> </w:t>
      </w:r>
      <w:r>
        <w:rPr>
          <w:spacing w:val="-2"/>
        </w:rPr>
        <w:t>Framework</w:t>
      </w:r>
    </w:p>
    <w:p w14:paraId="51D5C9BD" w14:textId="77777777" w:rsidR="00483D15" w:rsidRDefault="00000000">
      <w:pPr>
        <w:pStyle w:val="BodyText"/>
        <w:spacing w:before="9"/>
        <w:rPr>
          <w:sz w:val="18"/>
        </w:rPr>
      </w:pPr>
      <w:r>
        <w:rPr>
          <w:noProof/>
          <w:sz w:val="18"/>
        </w:rPr>
        <w:drawing>
          <wp:anchor distT="0" distB="0" distL="0" distR="0" simplePos="0" relativeHeight="487590400" behindDoc="1" locked="0" layoutInCell="1" allowOverlap="1" wp14:anchorId="7544E09D" wp14:editId="68554A87">
            <wp:simplePos x="0" y="0"/>
            <wp:positionH relativeFrom="page">
              <wp:posOffset>832426</wp:posOffset>
            </wp:positionH>
            <wp:positionV relativeFrom="paragraph">
              <wp:posOffset>160481</wp:posOffset>
            </wp:positionV>
            <wp:extent cx="5636365" cy="3065907"/>
            <wp:effectExtent l="0" t="0" r="0" b="0"/>
            <wp:wrapTopAndBottom/>
            <wp:docPr id="9" name="Image 9" descr="Diagram titled ‘Implementation Framework for the Bilateral Agreement’ showing three columns. The Foundations column includes ‘Bilateral Agreement’ and ‘Administrative Arrangements’. The Administration column includes ‘Assessment Practices and Procedures’, ‘Assessment Support Strategy’, and ‘Monitoring, Evaluation and Reporting Strategy’. The Governance column includes ‘Senior Officers’ Committee’ and ‘Directors’ Forum"/>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9" name="Image 9" descr="Diagram titled ‘Implementation Framework for the Bilateral Agreement’ showing three columns. The Foundations column includes ‘Bilateral Agreement’ and ‘Administrative Arrangements’. The Administration column includes ‘Assessment Practices and Procedures’, ‘Assessment Support Strategy’, and ‘Monitoring, Evaluation and Reporting Strategy’. The Governance column includes ‘Senior Officers’ Committee’ and ‘Directors’ Forum"/>
                    <pic:cNvPicPr/>
                  </pic:nvPicPr>
                  <pic:blipFill>
                    <a:blip r:embed="rId19" cstate="print"/>
                    <a:stretch>
                      <a:fillRect/>
                    </a:stretch>
                  </pic:blipFill>
                  <pic:spPr>
                    <a:xfrm>
                      <a:off x="0" y="0"/>
                      <a:ext cx="5636365" cy="3065907"/>
                    </a:xfrm>
                    <a:prstGeom prst="rect">
                      <a:avLst/>
                    </a:prstGeom>
                  </pic:spPr>
                </pic:pic>
              </a:graphicData>
            </a:graphic>
          </wp:anchor>
        </w:drawing>
      </w:r>
    </w:p>
    <w:p w14:paraId="11A92703" w14:textId="77777777" w:rsidR="00483D15" w:rsidRDefault="00483D15">
      <w:pPr>
        <w:pStyle w:val="BodyText"/>
        <w:rPr>
          <w:sz w:val="18"/>
        </w:rPr>
        <w:sectPr w:rsidR="00483D15">
          <w:pgSz w:w="11910" w:h="16840"/>
          <w:pgMar w:top="1380" w:right="566" w:bottom="1200" w:left="992" w:header="0" w:footer="1000" w:gutter="0"/>
          <w:cols w:space="720"/>
        </w:sectPr>
      </w:pPr>
    </w:p>
    <w:p w14:paraId="214A5F48" w14:textId="77777777" w:rsidR="00483D15" w:rsidRDefault="00000000">
      <w:pPr>
        <w:pStyle w:val="BodyText"/>
        <w:spacing w:before="42" w:line="360" w:lineRule="auto"/>
        <w:ind w:left="21" w:right="923"/>
      </w:pPr>
      <w:r>
        <w:lastRenderedPageBreak/>
        <w:t>The</w:t>
      </w:r>
      <w:r>
        <w:rPr>
          <w:spacing w:val="-4"/>
        </w:rPr>
        <w:t xml:space="preserve"> </w:t>
      </w:r>
      <w:r>
        <w:t>Foundations</w:t>
      </w:r>
      <w:r>
        <w:rPr>
          <w:spacing w:val="-5"/>
        </w:rPr>
        <w:t xml:space="preserve"> </w:t>
      </w:r>
      <w:r>
        <w:t>subset</w:t>
      </w:r>
      <w:r>
        <w:rPr>
          <w:spacing w:val="-5"/>
        </w:rPr>
        <w:t xml:space="preserve"> </w:t>
      </w:r>
      <w:r>
        <w:t>includes</w:t>
      </w:r>
      <w:r>
        <w:rPr>
          <w:spacing w:val="-3"/>
        </w:rPr>
        <w:t xml:space="preserve"> </w:t>
      </w:r>
      <w:r>
        <w:t>the</w:t>
      </w:r>
      <w:r>
        <w:rPr>
          <w:spacing w:val="-5"/>
        </w:rPr>
        <w:t xml:space="preserve"> </w:t>
      </w:r>
      <w:r>
        <w:t>Agreement’s</w:t>
      </w:r>
      <w:r>
        <w:rPr>
          <w:spacing w:val="-5"/>
        </w:rPr>
        <w:t xml:space="preserve"> </w:t>
      </w:r>
      <w:r>
        <w:t>Administrative</w:t>
      </w:r>
      <w:r>
        <w:rPr>
          <w:spacing w:val="-3"/>
        </w:rPr>
        <w:t xml:space="preserve"> </w:t>
      </w:r>
      <w:r>
        <w:t>Arrangements.</w:t>
      </w:r>
      <w:r>
        <w:rPr>
          <w:spacing w:val="-5"/>
        </w:rPr>
        <w:t xml:space="preserve"> </w:t>
      </w:r>
      <w:r>
        <w:t>This</w:t>
      </w:r>
      <w:r>
        <w:rPr>
          <w:spacing w:val="-3"/>
        </w:rPr>
        <w:t xml:space="preserve"> </w:t>
      </w:r>
      <w:r>
        <w:t>document</w:t>
      </w:r>
      <w:r>
        <w:rPr>
          <w:spacing w:val="-5"/>
        </w:rPr>
        <w:t xml:space="preserve"> </w:t>
      </w:r>
      <w:r>
        <w:t>was agreed and signed by Senior Officers of the administering agencies i.e., DAWE and DPIE.</w:t>
      </w:r>
    </w:p>
    <w:p w14:paraId="3D3601AE" w14:textId="77777777" w:rsidR="00483D15" w:rsidRDefault="00000000">
      <w:pPr>
        <w:pStyle w:val="BodyText"/>
        <w:spacing w:before="119" w:line="360" w:lineRule="auto"/>
        <w:ind w:left="21" w:right="910"/>
      </w:pPr>
      <w:r>
        <w:t>The</w:t>
      </w:r>
      <w:r>
        <w:rPr>
          <w:spacing w:val="-3"/>
        </w:rPr>
        <w:t xml:space="preserve"> </w:t>
      </w:r>
      <w:r>
        <w:t>BIF</w:t>
      </w:r>
      <w:r>
        <w:rPr>
          <w:spacing w:val="-2"/>
        </w:rPr>
        <w:t xml:space="preserve"> </w:t>
      </w:r>
      <w:r>
        <w:t>Administration</w:t>
      </w:r>
      <w:r>
        <w:rPr>
          <w:spacing w:val="-3"/>
        </w:rPr>
        <w:t xml:space="preserve"> </w:t>
      </w:r>
      <w:r>
        <w:t>subset</w:t>
      </w:r>
      <w:r>
        <w:rPr>
          <w:spacing w:val="-3"/>
        </w:rPr>
        <w:t xml:space="preserve"> </w:t>
      </w:r>
      <w:r>
        <w:t>refers</w:t>
      </w:r>
      <w:r>
        <w:rPr>
          <w:spacing w:val="-1"/>
        </w:rPr>
        <w:t xml:space="preserve"> </w:t>
      </w:r>
      <w:r>
        <w:t>to</w:t>
      </w:r>
      <w:r>
        <w:rPr>
          <w:spacing w:val="-1"/>
        </w:rPr>
        <w:t xml:space="preserve"> </w:t>
      </w:r>
      <w:r>
        <w:t>key</w:t>
      </w:r>
      <w:r>
        <w:rPr>
          <w:spacing w:val="-3"/>
        </w:rPr>
        <w:t xml:space="preserve"> </w:t>
      </w:r>
      <w:r>
        <w:t>Assessment</w:t>
      </w:r>
      <w:r>
        <w:rPr>
          <w:spacing w:val="-3"/>
        </w:rPr>
        <w:t xml:space="preserve"> </w:t>
      </w:r>
      <w:r>
        <w:t>Practice</w:t>
      </w:r>
      <w:r>
        <w:rPr>
          <w:spacing w:val="-3"/>
        </w:rPr>
        <w:t xml:space="preserve"> </w:t>
      </w:r>
      <w:r>
        <w:t>and</w:t>
      </w:r>
      <w:r>
        <w:rPr>
          <w:spacing w:val="-3"/>
        </w:rPr>
        <w:t xml:space="preserve"> </w:t>
      </w:r>
      <w:r>
        <w:t>Procedure</w:t>
      </w:r>
      <w:r>
        <w:rPr>
          <w:spacing w:val="-2"/>
        </w:rPr>
        <w:t xml:space="preserve"> </w:t>
      </w:r>
      <w:r>
        <w:t>(APP)</w:t>
      </w:r>
      <w:r>
        <w:rPr>
          <w:spacing w:val="-2"/>
        </w:rPr>
        <w:t xml:space="preserve"> </w:t>
      </w:r>
      <w:r>
        <w:t>documents</w:t>
      </w:r>
      <w:r>
        <w:rPr>
          <w:spacing w:val="-3"/>
        </w:rPr>
        <w:t xml:space="preserve"> </w:t>
      </w:r>
      <w:r>
        <w:t>used</w:t>
      </w:r>
      <w:r>
        <w:rPr>
          <w:spacing w:val="-3"/>
        </w:rPr>
        <w:t xml:space="preserve"> </w:t>
      </w:r>
      <w:r>
        <w:t>by the DPIE assessment teams in meeting the terms of the Agreement. In addition, this subset also sets out an</w:t>
      </w:r>
      <w:r>
        <w:rPr>
          <w:spacing w:val="-2"/>
        </w:rPr>
        <w:t xml:space="preserve"> </w:t>
      </w:r>
      <w:r>
        <w:t>Assessment</w:t>
      </w:r>
      <w:r>
        <w:rPr>
          <w:spacing w:val="-2"/>
        </w:rPr>
        <w:t xml:space="preserve"> </w:t>
      </w:r>
      <w:r>
        <w:t>Support</w:t>
      </w:r>
      <w:r>
        <w:rPr>
          <w:spacing w:val="-1"/>
        </w:rPr>
        <w:t xml:space="preserve"> </w:t>
      </w:r>
      <w:r>
        <w:t>Strategy,</w:t>
      </w:r>
      <w:r>
        <w:rPr>
          <w:spacing w:val="-2"/>
        </w:rPr>
        <w:t xml:space="preserve"> </w:t>
      </w:r>
      <w:r>
        <w:t>which</w:t>
      </w:r>
      <w:r>
        <w:rPr>
          <w:spacing w:val="-1"/>
        </w:rPr>
        <w:t xml:space="preserve"> </w:t>
      </w:r>
      <w:r>
        <w:t>describes</w:t>
      </w:r>
      <w:r>
        <w:rPr>
          <w:spacing w:val="-2"/>
        </w:rPr>
        <w:t xml:space="preserve"> </w:t>
      </w:r>
      <w:r>
        <w:t>how</w:t>
      </w:r>
      <w:r>
        <w:rPr>
          <w:spacing w:val="-2"/>
        </w:rPr>
        <w:t xml:space="preserve"> </w:t>
      </w:r>
      <w:r>
        <w:t>the</w:t>
      </w:r>
      <w:r>
        <w:rPr>
          <w:spacing w:val="-1"/>
        </w:rPr>
        <w:t xml:space="preserve"> </w:t>
      </w:r>
      <w:r>
        <w:t>NSW</w:t>
      </w:r>
      <w:r>
        <w:rPr>
          <w:spacing w:val="-2"/>
        </w:rPr>
        <w:t xml:space="preserve"> </w:t>
      </w:r>
      <w:r>
        <w:t>and</w:t>
      </w:r>
      <w:r>
        <w:rPr>
          <w:spacing w:val="-2"/>
        </w:rPr>
        <w:t xml:space="preserve"> </w:t>
      </w:r>
      <w:r>
        <w:t>Australian</w:t>
      </w:r>
      <w:r>
        <w:rPr>
          <w:spacing w:val="-1"/>
        </w:rPr>
        <w:t xml:space="preserve"> </w:t>
      </w:r>
      <w:r>
        <w:t>Government</w:t>
      </w:r>
      <w:r>
        <w:rPr>
          <w:spacing w:val="-1"/>
        </w:rPr>
        <w:t xml:space="preserve"> </w:t>
      </w:r>
      <w:r>
        <w:t>agencies</w:t>
      </w:r>
      <w:r>
        <w:rPr>
          <w:spacing w:val="-2"/>
        </w:rPr>
        <w:t xml:space="preserve"> </w:t>
      </w:r>
      <w:r>
        <w:t>will support the DPIE teams assessing state significant proposals involving impacts on MNES; and a Monitoring, Evaluation and Reporting Strategy, which describes how NSW and Australian Government agencies will monitor, evaluate, and report on the implementation of the Agreement. Monitoring and reporting processes employ KPIs to help demonstrate to both governments that the Agreement is working effectively.</w:t>
      </w:r>
    </w:p>
    <w:p w14:paraId="5BEB56B6" w14:textId="77777777" w:rsidR="00483D15" w:rsidRDefault="00000000">
      <w:pPr>
        <w:pStyle w:val="BodyText"/>
        <w:spacing w:before="121" w:line="360" w:lineRule="auto"/>
        <w:ind w:left="22" w:right="876"/>
      </w:pPr>
      <w:r>
        <w:t>The</w:t>
      </w:r>
      <w:r>
        <w:rPr>
          <w:spacing w:val="-2"/>
        </w:rPr>
        <w:t xml:space="preserve"> </w:t>
      </w:r>
      <w:r>
        <w:t>Governance</w:t>
      </w:r>
      <w:r>
        <w:rPr>
          <w:spacing w:val="-3"/>
        </w:rPr>
        <w:t xml:space="preserve"> </w:t>
      </w:r>
      <w:r>
        <w:t>subset</w:t>
      </w:r>
      <w:r>
        <w:rPr>
          <w:spacing w:val="-2"/>
        </w:rPr>
        <w:t xml:space="preserve"> </w:t>
      </w:r>
      <w:r>
        <w:t>of</w:t>
      </w:r>
      <w:r>
        <w:rPr>
          <w:spacing w:val="-3"/>
        </w:rPr>
        <w:t xml:space="preserve"> </w:t>
      </w:r>
      <w:r>
        <w:t>the</w:t>
      </w:r>
      <w:r>
        <w:rPr>
          <w:spacing w:val="-2"/>
        </w:rPr>
        <w:t xml:space="preserve"> </w:t>
      </w:r>
      <w:r>
        <w:t>BIF</w:t>
      </w:r>
      <w:r>
        <w:rPr>
          <w:spacing w:val="-3"/>
        </w:rPr>
        <w:t xml:space="preserve"> </w:t>
      </w:r>
      <w:r>
        <w:t>includes</w:t>
      </w:r>
      <w:r>
        <w:rPr>
          <w:spacing w:val="-3"/>
        </w:rPr>
        <w:t xml:space="preserve"> </w:t>
      </w:r>
      <w:r>
        <w:t>the</w:t>
      </w:r>
      <w:r>
        <w:rPr>
          <w:spacing w:val="-3"/>
        </w:rPr>
        <w:t xml:space="preserve"> </w:t>
      </w:r>
      <w:r>
        <w:t>Terms</w:t>
      </w:r>
      <w:r>
        <w:rPr>
          <w:spacing w:val="-3"/>
        </w:rPr>
        <w:t xml:space="preserve"> </w:t>
      </w:r>
      <w:r>
        <w:t>of</w:t>
      </w:r>
      <w:r>
        <w:rPr>
          <w:spacing w:val="-3"/>
        </w:rPr>
        <w:t xml:space="preserve"> </w:t>
      </w:r>
      <w:r>
        <w:t>Reference</w:t>
      </w:r>
      <w:r>
        <w:rPr>
          <w:spacing w:val="-3"/>
        </w:rPr>
        <w:t xml:space="preserve"> </w:t>
      </w:r>
      <w:r>
        <w:t>(</w:t>
      </w:r>
      <w:proofErr w:type="spellStart"/>
      <w:r>
        <w:t>ToR</w:t>
      </w:r>
      <w:proofErr w:type="spellEnd"/>
      <w:r>
        <w:t>)</w:t>
      </w:r>
      <w:r>
        <w:rPr>
          <w:spacing w:val="-2"/>
        </w:rPr>
        <w:t xml:space="preserve"> </w:t>
      </w:r>
      <w:r>
        <w:t>document</w:t>
      </w:r>
      <w:r>
        <w:rPr>
          <w:spacing w:val="-2"/>
        </w:rPr>
        <w:t xml:space="preserve"> </w:t>
      </w:r>
      <w:r>
        <w:t>for</w:t>
      </w:r>
      <w:r>
        <w:rPr>
          <w:spacing w:val="-3"/>
        </w:rPr>
        <w:t xml:space="preserve"> </w:t>
      </w:r>
      <w:r>
        <w:t>the</w:t>
      </w:r>
      <w:r>
        <w:rPr>
          <w:spacing w:val="-2"/>
        </w:rPr>
        <w:t xml:space="preserve"> </w:t>
      </w:r>
      <w:r>
        <w:t>Senior</w:t>
      </w:r>
      <w:r>
        <w:rPr>
          <w:spacing w:val="-3"/>
        </w:rPr>
        <w:t xml:space="preserve"> </w:t>
      </w:r>
      <w:r>
        <w:t>Officers Committee</w:t>
      </w:r>
      <w:r>
        <w:rPr>
          <w:spacing w:val="-2"/>
        </w:rPr>
        <w:t xml:space="preserve"> </w:t>
      </w:r>
      <w:r>
        <w:t>(SOC),</w:t>
      </w:r>
      <w:r>
        <w:rPr>
          <w:spacing w:val="-2"/>
        </w:rPr>
        <w:t xml:space="preserve"> </w:t>
      </w:r>
      <w:r>
        <w:t>setting</w:t>
      </w:r>
      <w:r>
        <w:rPr>
          <w:spacing w:val="-1"/>
        </w:rPr>
        <w:t xml:space="preserve"> </w:t>
      </w:r>
      <w:r>
        <w:t>out</w:t>
      </w:r>
      <w:r>
        <w:rPr>
          <w:spacing w:val="-2"/>
        </w:rPr>
        <w:t xml:space="preserve"> </w:t>
      </w:r>
      <w:r>
        <w:t>details</w:t>
      </w:r>
      <w:r>
        <w:rPr>
          <w:spacing w:val="-2"/>
        </w:rPr>
        <w:t xml:space="preserve"> </w:t>
      </w:r>
      <w:r>
        <w:t>on SOC</w:t>
      </w:r>
      <w:r>
        <w:rPr>
          <w:spacing w:val="-1"/>
        </w:rPr>
        <w:t xml:space="preserve"> </w:t>
      </w:r>
      <w:r>
        <w:t>membership</w:t>
      </w:r>
      <w:r>
        <w:rPr>
          <w:spacing w:val="-2"/>
        </w:rPr>
        <w:t xml:space="preserve"> </w:t>
      </w:r>
      <w:r>
        <w:t>and</w:t>
      </w:r>
      <w:r>
        <w:rPr>
          <w:spacing w:val="-1"/>
        </w:rPr>
        <w:t xml:space="preserve"> </w:t>
      </w:r>
      <w:r>
        <w:t>responsibilities,</w:t>
      </w:r>
      <w:r>
        <w:rPr>
          <w:spacing w:val="-2"/>
        </w:rPr>
        <w:t xml:space="preserve"> </w:t>
      </w:r>
      <w:r>
        <w:t>the</w:t>
      </w:r>
      <w:r>
        <w:rPr>
          <w:spacing w:val="-2"/>
        </w:rPr>
        <w:t xml:space="preserve"> </w:t>
      </w:r>
      <w:r>
        <w:t>function</w:t>
      </w:r>
      <w:r>
        <w:rPr>
          <w:spacing w:val="-2"/>
        </w:rPr>
        <w:t xml:space="preserve"> </w:t>
      </w:r>
      <w:r>
        <w:t>of</w:t>
      </w:r>
      <w:r>
        <w:rPr>
          <w:spacing w:val="-2"/>
        </w:rPr>
        <w:t xml:space="preserve"> </w:t>
      </w:r>
      <w:r>
        <w:t>Secretariat, and operating protocols for meetings. This subset also includes the Operating Procedure for the NSW-Commonwealth Directors’ Forum, which was established to support the SOC.</w:t>
      </w:r>
    </w:p>
    <w:p w14:paraId="6E6A7089" w14:textId="77777777" w:rsidR="00483D15" w:rsidRDefault="00000000">
      <w:pPr>
        <w:pStyle w:val="BodyText"/>
        <w:spacing w:before="121" w:line="360" w:lineRule="auto"/>
        <w:ind w:left="22" w:right="910"/>
      </w:pPr>
      <w:r>
        <w:t>Implementation</w:t>
      </w:r>
      <w:r>
        <w:rPr>
          <w:spacing w:val="-3"/>
        </w:rPr>
        <w:t xml:space="preserve"> </w:t>
      </w:r>
      <w:r>
        <w:t>of</w:t>
      </w:r>
      <w:r>
        <w:rPr>
          <w:spacing w:val="-3"/>
        </w:rPr>
        <w:t xml:space="preserve"> </w:t>
      </w:r>
      <w:r>
        <w:t>the</w:t>
      </w:r>
      <w:r>
        <w:rPr>
          <w:spacing w:val="-1"/>
        </w:rPr>
        <w:t xml:space="preserve"> </w:t>
      </w:r>
      <w:r>
        <w:t>BIF</w:t>
      </w:r>
      <w:r>
        <w:rPr>
          <w:spacing w:val="-2"/>
        </w:rPr>
        <w:t xml:space="preserve"> </w:t>
      </w:r>
      <w:r>
        <w:t>has</w:t>
      </w:r>
      <w:r>
        <w:rPr>
          <w:spacing w:val="-3"/>
        </w:rPr>
        <w:t xml:space="preserve"> </w:t>
      </w:r>
      <w:r>
        <w:t>in</w:t>
      </w:r>
      <w:r>
        <w:rPr>
          <w:spacing w:val="-2"/>
        </w:rPr>
        <w:t xml:space="preserve"> </w:t>
      </w:r>
      <w:r>
        <w:t>turn</w:t>
      </w:r>
      <w:r>
        <w:rPr>
          <w:spacing w:val="-2"/>
        </w:rPr>
        <w:t xml:space="preserve"> </w:t>
      </w:r>
      <w:r>
        <w:t>helped</w:t>
      </w:r>
      <w:r>
        <w:rPr>
          <w:spacing w:val="-2"/>
        </w:rPr>
        <w:t xml:space="preserve"> </w:t>
      </w:r>
      <w:r>
        <w:t>to</w:t>
      </w:r>
      <w:r>
        <w:rPr>
          <w:spacing w:val="-2"/>
        </w:rPr>
        <w:t xml:space="preserve"> </w:t>
      </w:r>
      <w:r>
        <w:t>improve</w:t>
      </w:r>
      <w:r>
        <w:rPr>
          <w:spacing w:val="-3"/>
        </w:rPr>
        <w:t xml:space="preserve"> </w:t>
      </w:r>
      <w:r>
        <w:t>implementation</w:t>
      </w:r>
      <w:r>
        <w:rPr>
          <w:spacing w:val="-3"/>
        </w:rPr>
        <w:t xml:space="preserve"> </w:t>
      </w:r>
      <w:r>
        <w:t>of</w:t>
      </w:r>
      <w:r>
        <w:rPr>
          <w:spacing w:val="-2"/>
        </w:rPr>
        <w:t xml:space="preserve"> </w:t>
      </w:r>
      <w:r>
        <w:t>the</w:t>
      </w:r>
      <w:r>
        <w:rPr>
          <w:spacing w:val="-3"/>
        </w:rPr>
        <w:t xml:space="preserve"> </w:t>
      </w:r>
      <w:r>
        <w:t>Agreement</w:t>
      </w:r>
      <w:r>
        <w:rPr>
          <w:spacing w:val="-2"/>
        </w:rPr>
        <w:t xml:space="preserve"> </w:t>
      </w:r>
      <w:r>
        <w:t>over</w:t>
      </w:r>
      <w:r>
        <w:rPr>
          <w:spacing w:val="-3"/>
        </w:rPr>
        <w:t xml:space="preserve"> </w:t>
      </w:r>
      <w:r>
        <w:t>the</w:t>
      </w:r>
      <w:r>
        <w:rPr>
          <w:spacing w:val="-3"/>
        </w:rPr>
        <w:t xml:space="preserve"> </w:t>
      </w:r>
      <w:r>
        <w:t>five-year</w:t>
      </w:r>
      <w:r>
        <w:rPr>
          <w:spacing w:val="-1"/>
        </w:rPr>
        <w:t xml:space="preserve"> </w:t>
      </w:r>
      <w:r>
        <w:t>term of this</w:t>
      </w:r>
      <w:r>
        <w:rPr>
          <w:spacing w:val="-1"/>
        </w:rPr>
        <w:t xml:space="preserve"> </w:t>
      </w:r>
      <w:r>
        <w:t>review. The</w:t>
      </w:r>
      <w:r>
        <w:rPr>
          <w:spacing w:val="-1"/>
        </w:rPr>
        <w:t xml:space="preserve"> </w:t>
      </w:r>
      <w:r>
        <w:t>BIF has</w:t>
      </w:r>
      <w:r>
        <w:rPr>
          <w:spacing w:val="-1"/>
        </w:rPr>
        <w:t xml:space="preserve"> </w:t>
      </w:r>
      <w:r>
        <w:t>clarified</w:t>
      </w:r>
      <w:r>
        <w:rPr>
          <w:spacing w:val="-1"/>
        </w:rPr>
        <w:t xml:space="preserve"> </w:t>
      </w:r>
      <w:r>
        <w:t>how the</w:t>
      </w:r>
      <w:r>
        <w:rPr>
          <w:spacing w:val="-1"/>
        </w:rPr>
        <w:t xml:space="preserve"> </w:t>
      </w:r>
      <w:r>
        <w:t>different components,</w:t>
      </w:r>
      <w:r>
        <w:rPr>
          <w:spacing w:val="-1"/>
        </w:rPr>
        <w:t xml:space="preserve"> </w:t>
      </w:r>
      <w:r>
        <w:t>such</w:t>
      </w:r>
      <w:r>
        <w:rPr>
          <w:spacing w:val="-1"/>
        </w:rPr>
        <w:t xml:space="preserve"> </w:t>
      </w:r>
      <w:r>
        <w:t>as the Agreement,</w:t>
      </w:r>
      <w:r>
        <w:rPr>
          <w:spacing w:val="-1"/>
        </w:rPr>
        <w:t xml:space="preserve"> </w:t>
      </w:r>
      <w:r>
        <w:t>the SOC, Assessment Support Strategy, and Monitoring, Evaluation and Reporting Strategy, relate to each other.</w:t>
      </w:r>
      <w:r>
        <w:rPr>
          <w:spacing w:val="40"/>
        </w:rPr>
        <w:t xml:space="preserve"> </w:t>
      </w:r>
      <w:r>
        <w:t>The Agreement’s administration has also improved through the BIF, regular director level meetings (i.e. interagency coordination meetings), and training for relevant staff in both the Australian and NSW government teams.</w:t>
      </w:r>
    </w:p>
    <w:p w14:paraId="046C319B" w14:textId="77777777" w:rsidR="00483D15" w:rsidRDefault="00483D15">
      <w:pPr>
        <w:pStyle w:val="BodyText"/>
        <w:spacing w:line="360" w:lineRule="auto"/>
        <w:sectPr w:rsidR="00483D15">
          <w:pgSz w:w="11910" w:h="16840"/>
          <w:pgMar w:top="1380" w:right="566" w:bottom="1200" w:left="992" w:header="0" w:footer="1000" w:gutter="0"/>
          <w:cols w:space="720"/>
        </w:sectPr>
      </w:pPr>
    </w:p>
    <w:p w14:paraId="45B7C845" w14:textId="77777777" w:rsidR="00483D15" w:rsidRDefault="00000000">
      <w:pPr>
        <w:pStyle w:val="Heading4"/>
        <w:numPr>
          <w:ilvl w:val="0"/>
          <w:numId w:val="32"/>
        </w:numPr>
        <w:tabs>
          <w:tab w:val="left" w:pos="1165"/>
        </w:tabs>
        <w:spacing w:before="42"/>
        <w:ind w:left="1165" w:hanging="358"/>
      </w:pPr>
      <w:r>
        <w:lastRenderedPageBreak/>
        <w:t>Review</w:t>
      </w:r>
      <w:r>
        <w:rPr>
          <w:spacing w:val="-11"/>
        </w:rPr>
        <w:t xml:space="preserve"> </w:t>
      </w:r>
      <w:r>
        <w:rPr>
          <w:spacing w:val="-2"/>
        </w:rPr>
        <w:t>scope</w:t>
      </w:r>
    </w:p>
    <w:p w14:paraId="368AEB6A" w14:textId="77777777" w:rsidR="00483D15" w:rsidRDefault="00000000">
      <w:pPr>
        <w:pStyle w:val="BodyText"/>
        <w:spacing w:before="255" w:line="360" w:lineRule="auto"/>
        <w:ind w:left="21" w:right="923"/>
      </w:pPr>
      <w:r>
        <w:t>In</w:t>
      </w:r>
      <w:r>
        <w:rPr>
          <w:spacing w:val="-3"/>
        </w:rPr>
        <w:t xml:space="preserve"> </w:t>
      </w:r>
      <w:r>
        <w:t>2019,</w:t>
      </w:r>
      <w:r>
        <w:rPr>
          <w:spacing w:val="-3"/>
        </w:rPr>
        <w:t xml:space="preserve"> </w:t>
      </w:r>
      <w:r>
        <w:t>the</w:t>
      </w:r>
      <w:r>
        <w:rPr>
          <w:spacing w:val="-3"/>
        </w:rPr>
        <w:t xml:space="preserve"> </w:t>
      </w:r>
      <w:r>
        <w:t>SOC</w:t>
      </w:r>
      <w:r>
        <w:rPr>
          <w:spacing w:val="-3"/>
        </w:rPr>
        <w:t xml:space="preserve"> </w:t>
      </w:r>
      <w:r>
        <w:t>agreed</w:t>
      </w:r>
      <w:r>
        <w:rPr>
          <w:spacing w:val="-2"/>
        </w:rPr>
        <w:t xml:space="preserve"> </w:t>
      </w:r>
      <w:r>
        <w:t>to</w:t>
      </w:r>
      <w:r>
        <w:rPr>
          <w:spacing w:val="-1"/>
        </w:rPr>
        <w:t xml:space="preserve"> </w:t>
      </w:r>
      <w:r>
        <w:t>terms</w:t>
      </w:r>
      <w:r>
        <w:rPr>
          <w:spacing w:val="-1"/>
        </w:rPr>
        <w:t xml:space="preserve"> </w:t>
      </w:r>
      <w:r>
        <w:t>to</w:t>
      </w:r>
      <w:r>
        <w:rPr>
          <w:spacing w:val="-2"/>
        </w:rPr>
        <w:t xml:space="preserve"> </w:t>
      </w:r>
      <w:r>
        <w:t>guide</w:t>
      </w:r>
      <w:r>
        <w:rPr>
          <w:spacing w:val="-3"/>
        </w:rPr>
        <w:t xml:space="preserve"> </w:t>
      </w:r>
      <w:r>
        <w:t>the</w:t>
      </w:r>
      <w:r>
        <w:rPr>
          <w:spacing w:val="-3"/>
        </w:rPr>
        <w:t xml:space="preserve"> </w:t>
      </w:r>
      <w:r>
        <w:t>2020</w:t>
      </w:r>
      <w:r>
        <w:rPr>
          <w:spacing w:val="-3"/>
        </w:rPr>
        <w:t xml:space="preserve"> </w:t>
      </w:r>
      <w:r>
        <w:t>Five-Year</w:t>
      </w:r>
      <w:r>
        <w:rPr>
          <w:spacing w:val="-3"/>
        </w:rPr>
        <w:t xml:space="preserve"> </w:t>
      </w:r>
      <w:r>
        <w:t>Review</w:t>
      </w:r>
      <w:r>
        <w:rPr>
          <w:spacing w:val="-3"/>
        </w:rPr>
        <w:t xml:space="preserve"> </w:t>
      </w:r>
      <w:r>
        <w:t>including</w:t>
      </w:r>
      <w:r>
        <w:rPr>
          <w:spacing w:val="-2"/>
        </w:rPr>
        <w:t xml:space="preserve"> </w:t>
      </w:r>
      <w:r>
        <w:t>the</w:t>
      </w:r>
      <w:r>
        <w:rPr>
          <w:spacing w:val="-3"/>
        </w:rPr>
        <w:t xml:space="preserve"> </w:t>
      </w:r>
      <w:r>
        <w:t>scope,</w:t>
      </w:r>
      <w:r>
        <w:rPr>
          <w:spacing w:val="-1"/>
        </w:rPr>
        <w:t xml:space="preserve"> </w:t>
      </w:r>
      <w:r>
        <w:t>three</w:t>
      </w:r>
      <w:r>
        <w:rPr>
          <w:spacing w:val="-3"/>
        </w:rPr>
        <w:t xml:space="preserve"> </w:t>
      </w:r>
      <w:r>
        <w:t>key questions and number of projects to be evaluated for each KPI. This review considers whether the Agreement</w:t>
      </w:r>
      <w:r>
        <w:rPr>
          <w:spacing w:val="-2"/>
        </w:rPr>
        <w:t xml:space="preserve"> </w:t>
      </w:r>
      <w:r>
        <w:t>has</w:t>
      </w:r>
      <w:r>
        <w:rPr>
          <w:spacing w:val="-3"/>
        </w:rPr>
        <w:t xml:space="preserve"> </w:t>
      </w:r>
      <w:r>
        <w:t>been</w:t>
      </w:r>
      <w:r>
        <w:rPr>
          <w:spacing w:val="-3"/>
        </w:rPr>
        <w:t xml:space="preserve"> </w:t>
      </w:r>
      <w:r>
        <w:t>operating</w:t>
      </w:r>
      <w:r>
        <w:rPr>
          <w:spacing w:val="-2"/>
        </w:rPr>
        <w:t xml:space="preserve"> </w:t>
      </w:r>
      <w:r>
        <w:t>effectively</w:t>
      </w:r>
      <w:r>
        <w:rPr>
          <w:spacing w:val="-3"/>
        </w:rPr>
        <w:t xml:space="preserve"> </w:t>
      </w:r>
      <w:r>
        <w:t>over</w:t>
      </w:r>
      <w:r>
        <w:rPr>
          <w:spacing w:val="-3"/>
        </w:rPr>
        <w:t xml:space="preserve"> </w:t>
      </w:r>
      <w:r>
        <w:t>the</w:t>
      </w:r>
      <w:r>
        <w:rPr>
          <w:spacing w:val="-3"/>
        </w:rPr>
        <w:t xml:space="preserve"> </w:t>
      </w:r>
      <w:r>
        <w:t>period</w:t>
      </w:r>
      <w:r>
        <w:rPr>
          <w:spacing w:val="-4"/>
        </w:rPr>
        <w:t xml:space="preserve"> </w:t>
      </w:r>
      <w:r>
        <w:t>of</w:t>
      </w:r>
      <w:r>
        <w:rPr>
          <w:spacing w:val="-3"/>
        </w:rPr>
        <w:t xml:space="preserve"> </w:t>
      </w:r>
      <w:r>
        <w:t>26</w:t>
      </w:r>
      <w:r>
        <w:rPr>
          <w:spacing w:val="-3"/>
        </w:rPr>
        <w:t xml:space="preserve"> </w:t>
      </w:r>
      <w:r>
        <w:t>February</w:t>
      </w:r>
      <w:r>
        <w:rPr>
          <w:spacing w:val="-3"/>
        </w:rPr>
        <w:t xml:space="preserve"> </w:t>
      </w:r>
      <w:r>
        <w:t>2015</w:t>
      </w:r>
      <w:r>
        <w:rPr>
          <w:spacing w:val="-2"/>
        </w:rPr>
        <w:t xml:space="preserve"> </w:t>
      </w:r>
      <w:r>
        <w:t>to</w:t>
      </w:r>
      <w:r>
        <w:rPr>
          <w:spacing w:val="-2"/>
        </w:rPr>
        <w:t xml:space="preserve"> </w:t>
      </w:r>
      <w:r>
        <w:t>26</w:t>
      </w:r>
      <w:r>
        <w:rPr>
          <w:spacing w:val="-3"/>
        </w:rPr>
        <w:t xml:space="preserve"> </w:t>
      </w:r>
      <w:r>
        <w:t>February</w:t>
      </w:r>
      <w:r>
        <w:rPr>
          <w:spacing w:val="-3"/>
        </w:rPr>
        <w:t xml:space="preserve"> </w:t>
      </w:r>
      <w:r>
        <w:t>2020 inclusive. The 5 Year Review report was drafted for review by DPIE and DAWE in December 2020.</w:t>
      </w:r>
    </w:p>
    <w:p w14:paraId="0A760E03" w14:textId="77777777" w:rsidR="00483D15" w:rsidRDefault="00000000">
      <w:pPr>
        <w:pStyle w:val="BodyText"/>
        <w:spacing w:before="119" w:line="360" w:lineRule="auto"/>
        <w:ind w:left="21" w:right="923"/>
      </w:pPr>
      <w:r>
        <w:t>The</w:t>
      </w:r>
      <w:r>
        <w:rPr>
          <w:spacing w:val="-3"/>
        </w:rPr>
        <w:t xml:space="preserve"> </w:t>
      </w:r>
      <w:r>
        <w:t>review</w:t>
      </w:r>
      <w:r>
        <w:rPr>
          <w:spacing w:val="-2"/>
        </w:rPr>
        <w:t xml:space="preserve"> </w:t>
      </w:r>
      <w:r>
        <w:t>considered</w:t>
      </w:r>
      <w:r>
        <w:rPr>
          <w:spacing w:val="-2"/>
        </w:rPr>
        <w:t xml:space="preserve"> </w:t>
      </w:r>
      <w:r>
        <w:t>data</w:t>
      </w:r>
      <w:r>
        <w:rPr>
          <w:spacing w:val="-3"/>
        </w:rPr>
        <w:t xml:space="preserve"> </w:t>
      </w:r>
      <w:r>
        <w:t>and</w:t>
      </w:r>
      <w:r>
        <w:rPr>
          <w:spacing w:val="-2"/>
        </w:rPr>
        <w:t xml:space="preserve"> </w:t>
      </w:r>
      <w:r>
        <w:t>stakeholder</w:t>
      </w:r>
      <w:r>
        <w:rPr>
          <w:spacing w:val="-3"/>
        </w:rPr>
        <w:t xml:space="preserve"> </w:t>
      </w:r>
      <w:r>
        <w:t>feedback</w:t>
      </w:r>
      <w:r>
        <w:rPr>
          <w:spacing w:val="-3"/>
        </w:rPr>
        <w:t xml:space="preserve"> </w:t>
      </w:r>
      <w:r>
        <w:t>against</w:t>
      </w:r>
      <w:r>
        <w:rPr>
          <w:spacing w:val="-2"/>
        </w:rPr>
        <w:t xml:space="preserve"> </w:t>
      </w:r>
      <w:r>
        <w:t>three</w:t>
      </w:r>
      <w:r>
        <w:rPr>
          <w:spacing w:val="-3"/>
        </w:rPr>
        <w:t xml:space="preserve"> </w:t>
      </w:r>
      <w:r>
        <w:t>questions,</w:t>
      </w:r>
      <w:r>
        <w:rPr>
          <w:spacing w:val="-3"/>
        </w:rPr>
        <w:t xml:space="preserve"> </w:t>
      </w:r>
      <w:r>
        <w:t>as</w:t>
      </w:r>
      <w:r>
        <w:rPr>
          <w:spacing w:val="-3"/>
        </w:rPr>
        <w:t xml:space="preserve"> </w:t>
      </w:r>
      <w:r>
        <w:t>a</w:t>
      </w:r>
      <w:r>
        <w:rPr>
          <w:spacing w:val="-3"/>
        </w:rPr>
        <w:t xml:space="preserve"> </w:t>
      </w:r>
      <w:r>
        <w:t>measure</w:t>
      </w:r>
      <w:r>
        <w:rPr>
          <w:spacing w:val="-2"/>
        </w:rPr>
        <w:t xml:space="preserve"> </w:t>
      </w:r>
      <w:r>
        <w:t>of</w:t>
      </w:r>
      <w:r>
        <w:rPr>
          <w:spacing w:val="-3"/>
        </w:rPr>
        <w:t xml:space="preserve"> </w:t>
      </w:r>
      <w:r>
        <w:t>whether the Agreement has been consistent with its high-level aims (Table 1 above):</w:t>
      </w:r>
    </w:p>
    <w:p w14:paraId="6E044E05" w14:textId="77777777" w:rsidR="00483D15" w:rsidRDefault="00000000">
      <w:pPr>
        <w:pStyle w:val="BodyText"/>
        <w:spacing w:before="10"/>
        <w:rPr>
          <w:sz w:val="7"/>
        </w:rPr>
      </w:pPr>
      <w:r>
        <w:rPr>
          <w:noProof/>
          <w:sz w:val="7"/>
        </w:rPr>
        <w:drawing>
          <wp:anchor distT="0" distB="0" distL="0" distR="0" simplePos="0" relativeHeight="487590912" behindDoc="1" locked="0" layoutInCell="1" allowOverlap="1" wp14:anchorId="6BB9F04B" wp14:editId="6BBDFFDF">
            <wp:simplePos x="0" y="0"/>
            <wp:positionH relativeFrom="page">
              <wp:posOffset>643890</wp:posOffset>
            </wp:positionH>
            <wp:positionV relativeFrom="paragraph">
              <wp:posOffset>76233</wp:posOffset>
            </wp:positionV>
            <wp:extent cx="5484948" cy="1493329"/>
            <wp:effectExtent l="0" t="0" r="0" b="0"/>
            <wp:wrapTopAndBottom/>
            <wp:docPr id="10" name="Image 10" descr="Three numbered boxes presenting key evaluation questions: (1) How well matters required by the Bilateral Agreement are addressed in state assessments; (2) how effective the Commonwealth’s endorsement of NSW offset approaches is in ensuring long-term environmental outcomes for matters of national environmental significance; and (3) how effective the Bilateral Agreement is in reducing duplication in regulatory processes."/>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0" name="Image 10" descr="Three numbered boxes presenting key evaluation questions: (1) How well matters required by the Bilateral Agreement are addressed in state assessments; (2) how effective the Commonwealth’s endorsement of NSW offset approaches is in ensuring long-term environmental outcomes for matters of national environmental significance; and (3) how effective the Bilateral Agreement is in reducing duplication in regulatory processes."/>
                    <pic:cNvPicPr/>
                  </pic:nvPicPr>
                  <pic:blipFill>
                    <a:blip r:embed="rId20" cstate="print"/>
                    <a:stretch>
                      <a:fillRect/>
                    </a:stretch>
                  </pic:blipFill>
                  <pic:spPr>
                    <a:xfrm>
                      <a:off x="0" y="0"/>
                      <a:ext cx="5484948" cy="1493329"/>
                    </a:xfrm>
                    <a:prstGeom prst="rect">
                      <a:avLst/>
                    </a:prstGeom>
                  </pic:spPr>
                </pic:pic>
              </a:graphicData>
            </a:graphic>
          </wp:anchor>
        </w:drawing>
      </w:r>
    </w:p>
    <w:p w14:paraId="36321A37" w14:textId="77777777" w:rsidR="00483D15" w:rsidRDefault="00483D15">
      <w:pPr>
        <w:pStyle w:val="BodyText"/>
        <w:rPr>
          <w:sz w:val="7"/>
        </w:rPr>
        <w:sectPr w:rsidR="00483D15">
          <w:pgSz w:w="11910" w:h="16840"/>
          <w:pgMar w:top="1380" w:right="566" w:bottom="1200" w:left="992" w:header="0" w:footer="1000" w:gutter="0"/>
          <w:cols w:space="720"/>
        </w:sectPr>
      </w:pPr>
    </w:p>
    <w:p w14:paraId="3B248852" w14:textId="77777777" w:rsidR="00483D15" w:rsidRDefault="00000000">
      <w:pPr>
        <w:pStyle w:val="Heading2"/>
        <w:spacing w:before="22"/>
        <w:ind w:left="448"/>
        <w:rPr>
          <w:rFonts w:ascii="Calibri" w:hAnsi="Calibri"/>
        </w:rPr>
      </w:pPr>
      <w:r>
        <w:rPr>
          <w:rFonts w:ascii="Calibri" w:hAnsi="Calibri"/>
        </w:rPr>
        <w:lastRenderedPageBreak/>
        <w:t>SECTION</w:t>
      </w:r>
      <w:r>
        <w:rPr>
          <w:rFonts w:ascii="Calibri" w:hAnsi="Calibri"/>
          <w:spacing w:val="-2"/>
        </w:rPr>
        <w:t xml:space="preserve"> </w:t>
      </w:r>
      <w:r>
        <w:rPr>
          <w:rFonts w:ascii="Calibri" w:hAnsi="Calibri"/>
        </w:rPr>
        <w:t>2</w:t>
      </w:r>
      <w:r>
        <w:rPr>
          <w:rFonts w:ascii="Calibri" w:hAnsi="Calibri"/>
          <w:spacing w:val="-4"/>
        </w:rPr>
        <w:t xml:space="preserve"> </w:t>
      </w:r>
      <w:r>
        <w:rPr>
          <w:rFonts w:ascii="Calibri" w:hAnsi="Calibri"/>
        </w:rPr>
        <w:t>–</w:t>
      </w:r>
      <w:r>
        <w:rPr>
          <w:rFonts w:ascii="Calibri" w:hAnsi="Calibri"/>
          <w:spacing w:val="-2"/>
        </w:rPr>
        <w:t xml:space="preserve"> </w:t>
      </w:r>
      <w:r>
        <w:rPr>
          <w:rFonts w:ascii="Calibri" w:hAnsi="Calibri"/>
        </w:rPr>
        <w:t>REVIEW</w:t>
      </w:r>
      <w:r>
        <w:rPr>
          <w:rFonts w:ascii="Calibri" w:hAnsi="Calibri"/>
          <w:spacing w:val="-2"/>
        </w:rPr>
        <w:t xml:space="preserve"> METHODOLOGY</w:t>
      </w:r>
    </w:p>
    <w:p w14:paraId="038E918D" w14:textId="77777777" w:rsidR="00483D15" w:rsidRDefault="00000000">
      <w:pPr>
        <w:pStyle w:val="BodyText"/>
        <w:spacing w:before="185"/>
        <w:ind w:left="22"/>
      </w:pPr>
      <w:r>
        <w:t>The</w:t>
      </w:r>
      <w:r>
        <w:rPr>
          <w:spacing w:val="-11"/>
        </w:rPr>
        <w:t xml:space="preserve"> </w:t>
      </w:r>
      <w:r>
        <w:t>review’s</w:t>
      </w:r>
      <w:r>
        <w:rPr>
          <w:spacing w:val="-10"/>
        </w:rPr>
        <w:t xml:space="preserve"> </w:t>
      </w:r>
      <w:r>
        <w:t>methodology</w:t>
      </w:r>
      <w:r>
        <w:rPr>
          <w:spacing w:val="-9"/>
        </w:rPr>
        <w:t xml:space="preserve"> </w:t>
      </w:r>
      <w:r>
        <w:t>involved</w:t>
      </w:r>
      <w:r>
        <w:rPr>
          <w:spacing w:val="-9"/>
        </w:rPr>
        <w:t xml:space="preserve"> </w:t>
      </w:r>
      <w:r>
        <w:t>three</w:t>
      </w:r>
      <w:r>
        <w:rPr>
          <w:spacing w:val="-11"/>
        </w:rPr>
        <w:t xml:space="preserve"> </w:t>
      </w:r>
      <w:r>
        <w:rPr>
          <w:spacing w:val="-2"/>
        </w:rPr>
        <w:t>stages:</w:t>
      </w:r>
    </w:p>
    <w:p w14:paraId="0F7286F2" w14:textId="77777777" w:rsidR="00483D15" w:rsidRDefault="00483D15">
      <w:pPr>
        <w:pStyle w:val="BodyText"/>
        <w:rPr>
          <w:sz w:val="20"/>
        </w:rPr>
      </w:pPr>
    </w:p>
    <w:p w14:paraId="37AFB8A6" w14:textId="77777777" w:rsidR="00483D15" w:rsidRDefault="00483D15">
      <w:pPr>
        <w:pStyle w:val="BodyText"/>
        <w:rPr>
          <w:sz w:val="20"/>
        </w:rPr>
      </w:pPr>
    </w:p>
    <w:p w14:paraId="6B4B7DC3" w14:textId="77777777" w:rsidR="00483D15" w:rsidRDefault="00000000">
      <w:pPr>
        <w:pStyle w:val="BodyText"/>
        <w:spacing w:before="51"/>
        <w:rPr>
          <w:sz w:val="20"/>
        </w:rPr>
      </w:pPr>
      <w:r>
        <w:rPr>
          <w:noProof/>
          <w:sz w:val="20"/>
        </w:rPr>
        <mc:AlternateContent>
          <mc:Choice Requires="wpg">
            <w:drawing>
              <wp:anchor distT="0" distB="0" distL="0" distR="0" simplePos="0" relativeHeight="487591424" behindDoc="1" locked="0" layoutInCell="1" allowOverlap="1" wp14:anchorId="73C94D52" wp14:editId="7E07C943">
                <wp:simplePos x="0" y="0"/>
                <wp:positionH relativeFrom="page">
                  <wp:posOffset>648925</wp:posOffset>
                </wp:positionH>
                <wp:positionV relativeFrom="paragraph">
                  <wp:posOffset>202917</wp:posOffset>
                </wp:positionV>
                <wp:extent cx="1505585" cy="1184275"/>
                <wp:effectExtent l="0" t="0" r="0" b="0"/>
                <wp:wrapTopAndBottom/>
                <wp:docPr id="11" name="Group 1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505585" cy="1184275"/>
                          <a:chOff x="0" y="0"/>
                          <a:chExt cx="1505585" cy="1184275"/>
                        </a:xfrm>
                      </wpg:grpSpPr>
                      <wps:wsp>
                        <wps:cNvPr id="12" name="Graphic 12"/>
                        <wps:cNvSpPr/>
                        <wps:spPr>
                          <a:xfrm>
                            <a:off x="0" y="0"/>
                            <a:ext cx="1505585" cy="1184275"/>
                          </a:xfrm>
                          <a:custGeom>
                            <a:avLst/>
                            <a:gdLst/>
                            <a:ahLst/>
                            <a:cxnLst/>
                            <a:rect l="l" t="t" r="r" b="b"/>
                            <a:pathLst>
                              <a:path w="1505585" h="1184275">
                                <a:moveTo>
                                  <a:pt x="1387144" y="0"/>
                                </a:moveTo>
                                <a:lnTo>
                                  <a:pt x="118389" y="0"/>
                                </a:lnTo>
                                <a:lnTo>
                                  <a:pt x="72303" y="9304"/>
                                </a:lnTo>
                                <a:lnTo>
                                  <a:pt x="34672" y="34677"/>
                                </a:lnTo>
                                <a:lnTo>
                                  <a:pt x="9302" y="72309"/>
                                </a:lnTo>
                                <a:lnTo>
                                  <a:pt x="0" y="118389"/>
                                </a:lnTo>
                                <a:lnTo>
                                  <a:pt x="0" y="1065466"/>
                                </a:lnTo>
                                <a:lnTo>
                                  <a:pt x="9302" y="1111544"/>
                                </a:lnTo>
                                <a:lnTo>
                                  <a:pt x="34672" y="1149172"/>
                                </a:lnTo>
                                <a:lnTo>
                                  <a:pt x="72303" y="1174540"/>
                                </a:lnTo>
                                <a:lnTo>
                                  <a:pt x="118389" y="1183843"/>
                                </a:lnTo>
                                <a:lnTo>
                                  <a:pt x="1387144" y="1183843"/>
                                </a:lnTo>
                                <a:lnTo>
                                  <a:pt x="1433230" y="1174540"/>
                                </a:lnTo>
                                <a:lnTo>
                                  <a:pt x="1470861" y="1149172"/>
                                </a:lnTo>
                                <a:lnTo>
                                  <a:pt x="1496231" y="1111544"/>
                                </a:lnTo>
                                <a:lnTo>
                                  <a:pt x="1505534" y="1065466"/>
                                </a:lnTo>
                                <a:lnTo>
                                  <a:pt x="1505534" y="118389"/>
                                </a:lnTo>
                                <a:lnTo>
                                  <a:pt x="1496231" y="72309"/>
                                </a:lnTo>
                                <a:lnTo>
                                  <a:pt x="1470861" y="34677"/>
                                </a:lnTo>
                                <a:lnTo>
                                  <a:pt x="1433230" y="9304"/>
                                </a:lnTo>
                                <a:lnTo>
                                  <a:pt x="1387144" y="0"/>
                                </a:lnTo>
                                <a:close/>
                              </a:path>
                            </a:pathLst>
                          </a:custGeom>
                          <a:solidFill>
                            <a:srgbClr val="5B9BD4"/>
                          </a:solidFill>
                        </wps:spPr>
                        <wps:bodyPr wrap="square" lIns="0" tIns="0" rIns="0" bIns="0" rtlCol="0">
                          <a:prstTxWarp prst="textNoShape">
                            <a:avLst/>
                          </a:prstTxWarp>
                          <a:noAutofit/>
                        </wps:bodyPr>
                      </wps:wsp>
                      <wps:wsp>
                        <wps:cNvPr id="13" name="Textbox 13" descr="Three-step process flow showing KPI data from DPIE/DAWE leading to evaluation by independent consultants, followed by review by DPIE/DAWE and the Senior Officers’ Committee."/>
                        <wps:cNvSpPr txBox="1"/>
                        <wps:spPr>
                          <a:xfrm>
                            <a:off x="0" y="0"/>
                            <a:ext cx="1505585" cy="1184275"/>
                          </a:xfrm>
                          <a:prstGeom prst="rect">
                            <a:avLst/>
                          </a:prstGeom>
                        </wps:spPr>
                        <wps:txbx>
                          <w:txbxContent>
                            <w:p w14:paraId="5B2879F2" w14:textId="77777777" w:rsidR="00483D15" w:rsidRDefault="00000000">
                              <w:pPr>
                                <w:spacing w:before="415" w:line="300" w:lineRule="auto"/>
                                <w:ind w:left="324" w:firstLine="265"/>
                                <w:rPr>
                                  <w:sz w:val="36"/>
                                </w:rPr>
                              </w:pPr>
                              <w:r>
                                <w:rPr>
                                  <w:color w:val="FFFFFF"/>
                                  <w:sz w:val="36"/>
                                  <w:u w:val="single" w:color="FFFFFF"/>
                                </w:rPr>
                                <w:t>KPI data</w:t>
                              </w:r>
                              <w:r>
                                <w:rPr>
                                  <w:color w:val="FFFFFF"/>
                                  <w:sz w:val="36"/>
                                </w:rPr>
                                <w:t xml:space="preserve"> </w:t>
                              </w:r>
                              <w:r>
                                <w:rPr>
                                  <w:color w:val="FFFFFF"/>
                                  <w:spacing w:val="-4"/>
                                  <w:sz w:val="36"/>
                                </w:rPr>
                                <w:t>DPIE/DAWE</w:t>
                              </w:r>
                            </w:p>
                          </w:txbxContent>
                        </wps:txbx>
                        <wps:bodyPr wrap="square" lIns="0" tIns="0" rIns="0" bIns="0" rtlCol="0">
                          <a:noAutofit/>
                        </wps:bodyPr>
                      </wps:wsp>
                    </wpg:wgp>
                  </a:graphicData>
                </a:graphic>
              </wp:anchor>
            </w:drawing>
          </mc:Choice>
          <mc:Fallback>
            <w:pict>
              <v:group w14:anchorId="73C94D52" id="Group 11" o:spid="_x0000_s1026" style="position:absolute;margin-left:51.1pt;margin-top:16pt;width:118.55pt;height:93.25pt;z-index:-15725056;mso-wrap-distance-left:0;mso-wrap-distance-right:0;mso-position-horizontal-relative:page" coordsize="15055,1184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">
                <v:shape id="Graphic 12" o:spid="_x0000_s1027" style="position:absolute;width:15055;height:11842;visibility:visible;mso-wrap-style:square;v-text-anchor:top" coordsize="1505585,11842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" path="m1387144,l118389,,72303,9304,34672,34677,9302,72309,,118389r,947077l9302,1111544r25370,37628l72303,1174540r46086,9303l1387144,1183843r46086,-9303l1470861,1149172r25370,-37628l1505534,1065466r,-947077l1496231,72309,1470861,34677,1433230,9304,1387144,xe" fillcolor="#5b9bd4" stroked="f">
                  <v:path arrowok="t"/>
                </v:shape>
                <v:shapetype id="_x0000_t202" coordsize="21600,21600" o:spt="202" path="m,l,21600r21600,l21600,xe">
                  <v:stroke joinstyle="miter"/>
                  <v:path gradientshapeok="t" o:connecttype="rect"/>
                </v:shapetype>
                <v:shape id="Textbox 13" o:spid="_x0000_s1028" type="#_x0000_t202" alt="Three-step process flow showing KPI data from DPIE/DAWE leading to evaluation by independent consultants, followed by review by DPIE/DAWE and the Senior Officers’ Committee." style="position:absolute;width:15055;height:1184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" filled="f" stroked="f">
                  <v:textbox inset="0,0,0,0">
                    <w:txbxContent>
                      <w:p w14:paraId="5B2879F2" w14:textId="77777777" w:rsidR="00483D15" w:rsidRDefault="00000000">
                        <w:pPr>
                          <w:spacing w:before="415" w:line="300" w:lineRule="auto"/>
                          <w:ind w:left="324" w:firstLine="265"/>
                          <w:rPr>
                            <w:sz w:val="36"/>
                          </w:rPr>
                        </w:pPr>
                        <w:r>
                          <w:rPr>
                            <w:color w:val="FFFFFF"/>
                            <w:sz w:val="36"/>
                            <w:u w:val="single" w:color="FFFFFF"/>
                          </w:rPr>
                          <w:t>KPI data</w:t>
                        </w:r>
                        <w:r>
                          <w:rPr>
                            <w:color w:val="FFFFFF"/>
                            <w:sz w:val="36"/>
                          </w:rPr>
                          <w:t xml:space="preserve"> </w:t>
                        </w:r>
                        <w:r>
                          <w:rPr>
                            <w:color w:val="FFFFFF"/>
                            <w:spacing w:val="-4"/>
                            <w:sz w:val="36"/>
                          </w:rPr>
                          <w:t>DPIE/DAWE</w:t>
                        </w:r>
                      </w:p>
                    </w:txbxContent>
                  </v:textbox>
                </v:shape>
                <w10:wrap type="topAndBottom" anchorx="page"/>
              </v:group>
            </w:pict>
          </mc:Fallback>
        </mc:AlternateContent>
      </w:r>
      <w:r>
        <w:rPr>
          <w:noProof/>
          <w:sz w:val="20"/>
        </w:rPr>
        <mc:AlternateContent>
          <mc:Choice Requires="wps">
            <w:drawing>
              <wp:anchor distT="0" distB="0" distL="0" distR="0" simplePos="0" relativeHeight="487591936" behindDoc="1" locked="0" layoutInCell="1" allowOverlap="1" wp14:anchorId="2AA6A40F" wp14:editId="55F09BD4">
                <wp:simplePos x="0" y="0"/>
                <wp:positionH relativeFrom="page">
                  <wp:posOffset>2305014</wp:posOffset>
                </wp:positionH>
                <wp:positionV relativeFrom="paragraph">
                  <wp:posOffset>608156</wp:posOffset>
                </wp:positionV>
                <wp:extent cx="319405" cy="373380"/>
                <wp:effectExtent l="0" t="0" r="0" b="0"/>
                <wp:wrapTopAndBottom/>
                <wp:docPr id="14" name="Graphic 1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319405" cy="373380"/>
                        </a:xfrm>
                        <a:custGeom>
                          <a:avLst/>
                          <a:gdLst/>
                          <a:ahLst/>
                          <a:cxnLst/>
                          <a:rect l="l" t="t" r="r" b="b"/>
                          <a:pathLst>
                            <a:path w="319405" h="373380">
                              <a:moveTo>
                                <a:pt x="159588" y="0"/>
                              </a:moveTo>
                              <a:lnTo>
                                <a:pt x="159588" y="74675"/>
                              </a:lnTo>
                              <a:lnTo>
                                <a:pt x="0" y="74675"/>
                              </a:lnTo>
                              <a:lnTo>
                                <a:pt x="0" y="298703"/>
                              </a:lnTo>
                              <a:lnTo>
                                <a:pt x="159588" y="298703"/>
                              </a:lnTo>
                              <a:lnTo>
                                <a:pt x="159588" y="373367"/>
                              </a:lnTo>
                              <a:lnTo>
                                <a:pt x="319176" y="186689"/>
                              </a:lnTo>
                              <a:lnTo>
                                <a:pt x="159588" y="0"/>
                              </a:lnTo>
                              <a:close/>
                            </a:path>
                          </a:pathLst>
                        </a:custGeom>
                        <a:solidFill>
                          <a:srgbClr val="B5CAE7"/>
                        </a:solidFill>
                      </wps:spPr>
                      <wps:bodyPr wrap="square" lIns="0" tIns="0" rIns="0" bIns="0" rtlCol="0">
                        <a:prstTxWarp prst="textNoShape">
                          <a:avLst/>
                        </a:prstTxWarp>
                        <a:noAutofit/>
                      </wps:bodyPr>
                    </wps:wsp>
                  </a:graphicData>
                </a:graphic>
              </wp:anchor>
            </w:drawing>
          </mc:Choice>
          <mc:Fallback>
            <w:pict>
              <v:shape w14:anchorId="450E0713" id="Graphic 14" o:spid="_x0000_s1026" style="position:absolute;margin-left:181.5pt;margin-top:47.9pt;width:25.15pt;height:29.4pt;z-index:-15724544;visibility:visible;mso-wrap-style:square;mso-wrap-distance-left:0;mso-wrap-distance-top:0;mso-wrap-distance-right:0;mso-wrap-distance-bottom:0;mso-position-horizontal:absolute;mso-position-horizontal-relative:page;mso-position-vertical:absolute;mso-position-vertical-relative:text;v-text-anchor:top" coordsize="319405,37338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" path="m159588,r,74675l,74675,,298703r159588,l159588,373367,319176,186689,159588,xe" fillcolor="#b5cae7" stroked="f">
                <v:path arrowok="t"/>
                <w10:wrap type="topAndBottom" anchorx="page"/>
              </v:shape>
            </w:pict>
          </mc:Fallback>
        </mc:AlternateContent>
      </w:r>
      <w:r>
        <w:rPr>
          <w:noProof/>
          <w:sz w:val="20"/>
        </w:rPr>
        <mc:AlternateContent>
          <mc:Choice Requires="wpg">
            <w:drawing>
              <wp:anchor distT="0" distB="0" distL="0" distR="0" simplePos="0" relativeHeight="487592448" behindDoc="1" locked="0" layoutInCell="1" allowOverlap="1" wp14:anchorId="0A96FFB1" wp14:editId="638833F3">
                <wp:simplePos x="0" y="0"/>
                <wp:positionH relativeFrom="page">
                  <wp:posOffset>2756675</wp:posOffset>
                </wp:positionH>
                <wp:positionV relativeFrom="paragraph">
                  <wp:posOffset>202917</wp:posOffset>
                </wp:positionV>
                <wp:extent cx="1505585" cy="1184275"/>
                <wp:effectExtent l="0" t="0" r="0" b="0"/>
                <wp:wrapTopAndBottom/>
                <wp:docPr id="15" name="Group 1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505585" cy="1184275"/>
                          <a:chOff x="0" y="0"/>
                          <a:chExt cx="1505585" cy="1184275"/>
                        </a:xfrm>
                      </wpg:grpSpPr>
                      <wps:wsp>
                        <wps:cNvPr id="16" name="Graphic 16"/>
                        <wps:cNvSpPr/>
                        <wps:spPr>
                          <a:xfrm>
                            <a:off x="0" y="0"/>
                            <a:ext cx="1505585" cy="1184275"/>
                          </a:xfrm>
                          <a:custGeom>
                            <a:avLst/>
                            <a:gdLst/>
                            <a:ahLst/>
                            <a:cxnLst/>
                            <a:rect l="l" t="t" r="r" b="b"/>
                            <a:pathLst>
                              <a:path w="1505585" h="1184275">
                                <a:moveTo>
                                  <a:pt x="1387144" y="0"/>
                                </a:moveTo>
                                <a:lnTo>
                                  <a:pt x="118389" y="0"/>
                                </a:lnTo>
                                <a:lnTo>
                                  <a:pt x="72303" y="9304"/>
                                </a:lnTo>
                                <a:lnTo>
                                  <a:pt x="34672" y="34677"/>
                                </a:lnTo>
                                <a:lnTo>
                                  <a:pt x="9302" y="72309"/>
                                </a:lnTo>
                                <a:lnTo>
                                  <a:pt x="0" y="118389"/>
                                </a:lnTo>
                                <a:lnTo>
                                  <a:pt x="0" y="1065466"/>
                                </a:lnTo>
                                <a:lnTo>
                                  <a:pt x="9302" y="1111544"/>
                                </a:lnTo>
                                <a:lnTo>
                                  <a:pt x="34672" y="1149172"/>
                                </a:lnTo>
                                <a:lnTo>
                                  <a:pt x="72303" y="1174540"/>
                                </a:lnTo>
                                <a:lnTo>
                                  <a:pt x="118389" y="1183843"/>
                                </a:lnTo>
                                <a:lnTo>
                                  <a:pt x="1387144" y="1183843"/>
                                </a:lnTo>
                                <a:lnTo>
                                  <a:pt x="1433230" y="1174540"/>
                                </a:lnTo>
                                <a:lnTo>
                                  <a:pt x="1470861" y="1149172"/>
                                </a:lnTo>
                                <a:lnTo>
                                  <a:pt x="1496231" y="1111544"/>
                                </a:lnTo>
                                <a:lnTo>
                                  <a:pt x="1505534" y="1065466"/>
                                </a:lnTo>
                                <a:lnTo>
                                  <a:pt x="1505534" y="118389"/>
                                </a:lnTo>
                                <a:lnTo>
                                  <a:pt x="1496231" y="72309"/>
                                </a:lnTo>
                                <a:lnTo>
                                  <a:pt x="1470861" y="34677"/>
                                </a:lnTo>
                                <a:lnTo>
                                  <a:pt x="1433230" y="9304"/>
                                </a:lnTo>
                                <a:lnTo>
                                  <a:pt x="1387144" y="0"/>
                                </a:lnTo>
                                <a:close/>
                              </a:path>
                            </a:pathLst>
                          </a:custGeom>
                          <a:solidFill>
                            <a:srgbClr val="5B9BD4"/>
                          </a:solidFill>
                        </wps:spPr>
                        <wps:bodyPr wrap="square" lIns="0" tIns="0" rIns="0" bIns="0" rtlCol="0">
                          <a:prstTxWarp prst="textNoShape">
                            <a:avLst/>
                          </a:prstTxWarp>
                          <a:noAutofit/>
                        </wps:bodyPr>
                      </wps:wsp>
                      <wps:wsp>
                        <wps:cNvPr id="17" name="Textbox 17" descr="Three-step process flow showing KPI data from DPIE/DAWE leading to evaluation by independent consultants, followed by review by DPIE/DAWE and the Senior Officers’ Committee."/>
                        <wps:cNvSpPr txBox="1"/>
                        <wps:spPr>
                          <a:xfrm>
                            <a:off x="0" y="0"/>
                            <a:ext cx="1505585" cy="1184275"/>
                          </a:xfrm>
                          <a:prstGeom prst="rect">
                            <a:avLst/>
                          </a:prstGeom>
                        </wps:spPr>
                        <wps:txbx>
                          <w:txbxContent>
                            <w:p w14:paraId="0453C64B" w14:textId="77777777" w:rsidR="00483D15" w:rsidRDefault="00000000">
                              <w:pPr>
                                <w:spacing w:before="218"/>
                                <w:ind w:left="244" w:firstLine="180"/>
                                <w:rPr>
                                  <w:sz w:val="36"/>
                                </w:rPr>
                              </w:pPr>
                              <w:r>
                                <w:rPr>
                                  <w:color w:val="FFFFFF"/>
                                  <w:spacing w:val="-2"/>
                                  <w:sz w:val="36"/>
                                  <w:u w:val="single" w:color="FFFFFF"/>
                                </w:rPr>
                                <w:t>Evaluation</w:t>
                              </w:r>
                            </w:p>
                            <w:p w14:paraId="1CEAE518" w14:textId="77777777" w:rsidR="00483D15" w:rsidRDefault="00000000">
                              <w:pPr>
                                <w:spacing w:before="144" w:line="216" w:lineRule="auto"/>
                                <w:ind w:left="347" w:hanging="104"/>
                                <w:rPr>
                                  <w:sz w:val="36"/>
                                </w:rPr>
                              </w:pPr>
                              <w:r>
                                <w:rPr>
                                  <w:color w:val="FFFFFF"/>
                                  <w:spacing w:val="-2"/>
                                  <w:sz w:val="36"/>
                                </w:rPr>
                                <w:t>Independent consultants</w:t>
                              </w:r>
                            </w:p>
                          </w:txbxContent>
                        </wps:txbx>
                        <wps:bodyPr wrap="square" lIns="0" tIns="0" rIns="0" bIns="0" rtlCol="0">
                          <a:noAutofit/>
                        </wps:bodyPr>
                      </wps:wsp>
                    </wpg:wgp>
                  </a:graphicData>
                </a:graphic>
              </wp:anchor>
            </w:drawing>
          </mc:Choice>
          <mc:Fallback>
            <w:pict>
              <v:group w14:anchorId="0A96FFB1" id="Group 15" o:spid="_x0000_s1029" style="position:absolute;margin-left:217.05pt;margin-top:16pt;width:118.55pt;height:93.25pt;z-index:-15724032;mso-wrap-distance-left:0;mso-wrap-distance-right:0;mso-position-horizontal-relative:page" coordsize="15055,1184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">
                <v:shape id="Graphic 16" o:spid="_x0000_s1030" style="position:absolute;width:15055;height:11842;visibility:visible;mso-wrap-style:square;v-text-anchor:top" coordsize="1505585,11842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" path="m1387144,l118389,,72303,9304,34672,34677,9302,72309,,118389r,947077l9302,1111544r25370,37628l72303,1174540r46086,9303l1387144,1183843r46086,-9303l1470861,1149172r25370,-37628l1505534,1065466r,-947077l1496231,72309,1470861,34677,1433230,9304,1387144,xe" fillcolor="#5b9bd4" stroked="f">
                  <v:path arrowok="t"/>
                </v:shape>
                <v:shape id="Textbox 17" o:spid="_x0000_s1031" type="#_x0000_t202" alt="Three-step process flow showing KPI data from DPIE/DAWE leading to evaluation by independent consultants, followed by review by DPIE/DAWE and the Senior Officers’ Committee." style="position:absolute;width:15055;height:1184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" filled="f" stroked="f">
                  <v:textbox inset="0,0,0,0">
                    <w:txbxContent>
                      <w:p w14:paraId="0453C64B" w14:textId="77777777" w:rsidR="00483D15" w:rsidRDefault="00000000">
                        <w:pPr>
                          <w:spacing w:before="218"/>
                          <w:ind w:left="244" w:firstLine="180"/>
                          <w:rPr>
                            <w:sz w:val="36"/>
                          </w:rPr>
                        </w:pPr>
                        <w:r>
                          <w:rPr>
                            <w:color w:val="FFFFFF"/>
                            <w:spacing w:val="-2"/>
                            <w:sz w:val="36"/>
                            <w:u w:val="single" w:color="FFFFFF"/>
                          </w:rPr>
                          <w:t>Evaluation</w:t>
                        </w:r>
                      </w:p>
                      <w:p w14:paraId="1CEAE518" w14:textId="77777777" w:rsidR="00483D15" w:rsidRDefault="00000000">
                        <w:pPr>
                          <w:spacing w:before="144" w:line="216" w:lineRule="auto"/>
                          <w:ind w:left="347" w:hanging="104"/>
                          <w:rPr>
                            <w:sz w:val="36"/>
                          </w:rPr>
                        </w:pPr>
                        <w:r>
                          <w:rPr>
                            <w:color w:val="FFFFFF"/>
                            <w:spacing w:val="-2"/>
                            <w:sz w:val="36"/>
                          </w:rPr>
                          <w:t>Independent consultants</w:t>
                        </w:r>
                      </w:p>
                    </w:txbxContent>
                  </v:textbox>
                </v:shape>
                <w10:wrap type="topAndBottom" anchorx="page"/>
              </v:group>
            </w:pict>
          </mc:Fallback>
        </mc:AlternateContent>
      </w:r>
      <w:r>
        <w:rPr>
          <w:noProof/>
          <w:sz w:val="20"/>
        </w:rPr>
        <mc:AlternateContent>
          <mc:Choice Requires="wps">
            <w:drawing>
              <wp:anchor distT="0" distB="0" distL="0" distR="0" simplePos="0" relativeHeight="487592960" behindDoc="1" locked="0" layoutInCell="1" allowOverlap="1" wp14:anchorId="56CB6ECD" wp14:editId="55668923">
                <wp:simplePos x="0" y="0"/>
                <wp:positionH relativeFrom="page">
                  <wp:posOffset>4412764</wp:posOffset>
                </wp:positionH>
                <wp:positionV relativeFrom="paragraph">
                  <wp:posOffset>608156</wp:posOffset>
                </wp:positionV>
                <wp:extent cx="319405" cy="373380"/>
                <wp:effectExtent l="0" t="0" r="0" b="0"/>
                <wp:wrapTopAndBottom/>
                <wp:docPr id="18" name="Graphic 1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319405" cy="373380"/>
                        </a:xfrm>
                        <a:custGeom>
                          <a:avLst/>
                          <a:gdLst/>
                          <a:ahLst/>
                          <a:cxnLst/>
                          <a:rect l="l" t="t" r="r" b="b"/>
                          <a:pathLst>
                            <a:path w="319405" h="373380">
                              <a:moveTo>
                                <a:pt x="159588" y="0"/>
                              </a:moveTo>
                              <a:lnTo>
                                <a:pt x="159588" y="74675"/>
                              </a:lnTo>
                              <a:lnTo>
                                <a:pt x="0" y="74675"/>
                              </a:lnTo>
                              <a:lnTo>
                                <a:pt x="0" y="298703"/>
                              </a:lnTo>
                              <a:lnTo>
                                <a:pt x="159588" y="298703"/>
                              </a:lnTo>
                              <a:lnTo>
                                <a:pt x="159588" y="373367"/>
                              </a:lnTo>
                              <a:lnTo>
                                <a:pt x="319176" y="186689"/>
                              </a:lnTo>
                              <a:lnTo>
                                <a:pt x="159588" y="0"/>
                              </a:lnTo>
                              <a:close/>
                            </a:path>
                          </a:pathLst>
                        </a:custGeom>
                        <a:solidFill>
                          <a:srgbClr val="B5CAE7"/>
                        </a:solidFill>
                      </wps:spPr>
                      <wps:bodyPr wrap="square" lIns="0" tIns="0" rIns="0" bIns="0" rtlCol="0">
                        <a:prstTxWarp prst="textNoShape">
                          <a:avLst/>
                        </a:prstTxWarp>
                        <a:noAutofit/>
                      </wps:bodyPr>
                    </wps:wsp>
                  </a:graphicData>
                </a:graphic>
              </wp:anchor>
            </w:drawing>
          </mc:Choice>
          <mc:Fallback>
            <w:pict>
              <v:shape w14:anchorId="6BF209FB" id="Graphic 18" o:spid="_x0000_s1026" style="position:absolute;margin-left:347.45pt;margin-top:47.9pt;width:25.15pt;height:29.4pt;z-index:-15723520;visibility:visible;mso-wrap-style:square;mso-wrap-distance-left:0;mso-wrap-distance-top:0;mso-wrap-distance-right:0;mso-wrap-distance-bottom:0;mso-position-horizontal:absolute;mso-position-horizontal-relative:page;mso-position-vertical:absolute;mso-position-vertical-relative:text;v-text-anchor:top" coordsize="319405,37338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" path="m159588,r,74675l,74675,,298703r159588,l159588,373367,319176,186689,159588,xe" fillcolor="#b5cae7" stroked="f">
                <v:path arrowok="t"/>
                <w10:wrap type="topAndBottom" anchorx="page"/>
              </v:shape>
            </w:pict>
          </mc:Fallback>
        </mc:AlternateContent>
      </w:r>
      <w:r>
        <w:rPr>
          <w:noProof/>
          <w:sz w:val="20"/>
        </w:rPr>
        <mc:AlternateContent>
          <mc:Choice Requires="wpg">
            <w:drawing>
              <wp:anchor distT="0" distB="0" distL="0" distR="0" simplePos="0" relativeHeight="487593472" behindDoc="1" locked="0" layoutInCell="1" allowOverlap="1" wp14:anchorId="59A7D54F" wp14:editId="6ED27DF8">
                <wp:simplePos x="0" y="0"/>
                <wp:positionH relativeFrom="page">
                  <wp:posOffset>4864426</wp:posOffset>
                </wp:positionH>
                <wp:positionV relativeFrom="paragraph">
                  <wp:posOffset>202917</wp:posOffset>
                </wp:positionV>
                <wp:extent cx="1505585" cy="1184275"/>
                <wp:effectExtent l="0" t="0" r="0" b="0"/>
                <wp:wrapTopAndBottom/>
                <wp:docPr id="19" name="Group 1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505585" cy="1184275"/>
                          <a:chOff x="0" y="0"/>
                          <a:chExt cx="1505585" cy="1184275"/>
                        </a:xfrm>
                      </wpg:grpSpPr>
                      <wps:wsp>
                        <wps:cNvPr id="20" name="Graphic 20"/>
                        <wps:cNvSpPr/>
                        <wps:spPr>
                          <a:xfrm>
                            <a:off x="0" y="0"/>
                            <a:ext cx="1505585" cy="1184275"/>
                          </a:xfrm>
                          <a:custGeom>
                            <a:avLst/>
                            <a:gdLst/>
                            <a:ahLst/>
                            <a:cxnLst/>
                            <a:rect l="l" t="t" r="r" b="b"/>
                            <a:pathLst>
                              <a:path w="1505585" h="1184275">
                                <a:moveTo>
                                  <a:pt x="1387144" y="0"/>
                                </a:moveTo>
                                <a:lnTo>
                                  <a:pt x="118389" y="0"/>
                                </a:lnTo>
                                <a:lnTo>
                                  <a:pt x="72303" y="9304"/>
                                </a:lnTo>
                                <a:lnTo>
                                  <a:pt x="34672" y="34677"/>
                                </a:lnTo>
                                <a:lnTo>
                                  <a:pt x="9302" y="72309"/>
                                </a:lnTo>
                                <a:lnTo>
                                  <a:pt x="0" y="118389"/>
                                </a:lnTo>
                                <a:lnTo>
                                  <a:pt x="0" y="1065466"/>
                                </a:lnTo>
                                <a:lnTo>
                                  <a:pt x="9302" y="1111544"/>
                                </a:lnTo>
                                <a:lnTo>
                                  <a:pt x="34672" y="1149172"/>
                                </a:lnTo>
                                <a:lnTo>
                                  <a:pt x="72303" y="1174540"/>
                                </a:lnTo>
                                <a:lnTo>
                                  <a:pt x="118389" y="1183843"/>
                                </a:lnTo>
                                <a:lnTo>
                                  <a:pt x="1387144" y="1183843"/>
                                </a:lnTo>
                                <a:lnTo>
                                  <a:pt x="1433230" y="1174540"/>
                                </a:lnTo>
                                <a:lnTo>
                                  <a:pt x="1470861" y="1149172"/>
                                </a:lnTo>
                                <a:lnTo>
                                  <a:pt x="1496231" y="1111544"/>
                                </a:lnTo>
                                <a:lnTo>
                                  <a:pt x="1505534" y="1065466"/>
                                </a:lnTo>
                                <a:lnTo>
                                  <a:pt x="1505534" y="118389"/>
                                </a:lnTo>
                                <a:lnTo>
                                  <a:pt x="1496231" y="72309"/>
                                </a:lnTo>
                                <a:lnTo>
                                  <a:pt x="1470861" y="34677"/>
                                </a:lnTo>
                                <a:lnTo>
                                  <a:pt x="1433230" y="9304"/>
                                </a:lnTo>
                                <a:lnTo>
                                  <a:pt x="1387144" y="0"/>
                                </a:lnTo>
                                <a:close/>
                              </a:path>
                            </a:pathLst>
                          </a:custGeom>
                          <a:solidFill>
                            <a:srgbClr val="5B9BD4"/>
                          </a:solidFill>
                        </wps:spPr>
                        <wps:bodyPr wrap="square" lIns="0" tIns="0" rIns="0" bIns="0" rtlCol="0">
                          <a:prstTxWarp prst="textNoShape">
                            <a:avLst/>
                          </a:prstTxWarp>
                          <a:noAutofit/>
                        </wps:bodyPr>
                      </wps:wsp>
                      <wps:wsp>
                        <wps:cNvPr id="21" name="Textbox 21" descr="Three-step process -flow showing KPI data from DPIE/DAWE leading to evaluation by independent consultants, followed by review by DPIE/DAWE and the Senior Officers’ Committee."/>
                        <wps:cNvSpPr txBox="1"/>
                        <wps:spPr>
                          <a:xfrm>
                            <a:off x="0" y="0"/>
                            <a:ext cx="1505585" cy="1184275"/>
                          </a:xfrm>
                          <a:prstGeom prst="rect">
                            <a:avLst/>
                          </a:prstGeom>
                        </wps:spPr>
                        <wps:txbx>
                          <w:txbxContent>
                            <w:p w14:paraId="571429D5" w14:textId="77777777" w:rsidR="00483D15" w:rsidRDefault="00000000">
                              <w:pPr>
                                <w:spacing w:before="141" w:line="300" w:lineRule="auto"/>
                                <w:ind w:left="324" w:right="323" w:hanging="2"/>
                                <w:jc w:val="center"/>
                                <w:rPr>
                                  <w:sz w:val="36"/>
                                </w:rPr>
                              </w:pPr>
                              <w:r>
                                <w:rPr>
                                  <w:color w:val="FFFFFF"/>
                                  <w:spacing w:val="-2"/>
                                  <w:sz w:val="36"/>
                                  <w:u w:val="single" w:color="FFFFFF"/>
                                </w:rPr>
                                <w:t>Review</w:t>
                              </w:r>
                              <w:r>
                                <w:rPr>
                                  <w:color w:val="FFFFFF"/>
                                  <w:spacing w:val="-2"/>
                                  <w:sz w:val="36"/>
                                </w:rPr>
                                <w:t xml:space="preserve"> </w:t>
                              </w:r>
                              <w:r>
                                <w:rPr>
                                  <w:color w:val="FFFFFF"/>
                                  <w:spacing w:val="-4"/>
                                  <w:sz w:val="36"/>
                                </w:rPr>
                                <w:t>DPIE/DAWE SOC</w:t>
                              </w:r>
                            </w:p>
                          </w:txbxContent>
                        </wps:txbx>
                        <wps:bodyPr wrap="square" lIns="0" tIns="0" rIns="0" bIns="0" rtlCol="0">
                          <a:noAutofit/>
                        </wps:bodyPr>
                      </wps:wsp>
                    </wpg:wgp>
                  </a:graphicData>
                </a:graphic>
              </wp:anchor>
            </w:drawing>
          </mc:Choice>
          <mc:Fallback>
            <w:pict>
              <v:group w14:anchorId="59A7D54F" id="Group 19" o:spid="_x0000_s1032" style="position:absolute;margin-left:383.05pt;margin-top:16pt;width:118.55pt;height:93.25pt;z-index:-15723008;mso-wrap-distance-left:0;mso-wrap-distance-right:0;mso-position-horizontal-relative:page" coordsize="15055,1184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">
                <v:shape id="Graphic 20" o:spid="_x0000_s1033" style="position:absolute;width:15055;height:11842;visibility:visible;mso-wrap-style:square;v-text-anchor:top" coordsize="1505585,11842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" path="m1387144,l118389,,72303,9304,34672,34677,9302,72309,,118389r,947077l9302,1111544r25370,37628l72303,1174540r46086,9303l1387144,1183843r46086,-9303l1470861,1149172r25370,-37628l1505534,1065466r,-947077l1496231,72309,1470861,34677,1433230,9304,1387144,xe" fillcolor="#5b9bd4" stroked="f">
                  <v:path arrowok="t"/>
                </v:shape>
                <v:shape id="Textbox 21" o:spid="_x0000_s1034" type="#_x0000_t202" alt="Three-step process -flow showing KPI data from DPIE/DAWE leading to evaluation by independent consultants, followed by review by DPIE/DAWE and the Senior Officers’ Committee." style="position:absolute;width:15055;height:1184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" filled="f" stroked="f">
                  <v:textbox inset="0,0,0,0">
                    <w:txbxContent>
                      <w:p w14:paraId="571429D5" w14:textId="77777777" w:rsidR="00483D15" w:rsidRDefault="00000000">
                        <w:pPr>
                          <w:spacing w:before="141" w:line="300" w:lineRule="auto"/>
                          <w:ind w:left="324" w:right="323" w:hanging="2"/>
                          <w:jc w:val="center"/>
                          <w:rPr>
                            <w:sz w:val="36"/>
                          </w:rPr>
                        </w:pPr>
                        <w:r>
                          <w:rPr>
                            <w:color w:val="FFFFFF"/>
                            <w:spacing w:val="-2"/>
                            <w:sz w:val="36"/>
                            <w:u w:val="single" w:color="FFFFFF"/>
                          </w:rPr>
                          <w:t>Review</w:t>
                        </w:r>
                        <w:r>
                          <w:rPr>
                            <w:color w:val="FFFFFF"/>
                            <w:spacing w:val="-2"/>
                            <w:sz w:val="36"/>
                          </w:rPr>
                          <w:t xml:space="preserve"> </w:t>
                        </w:r>
                        <w:r>
                          <w:rPr>
                            <w:color w:val="FFFFFF"/>
                            <w:spacing w:val="-4"/>
                            <w:sz w:val="36"/>
                          </w:rPr>
                          <w:t>DPIE/DAWE SOC</w:t>
                        </w:r>
                      </w:p>
                    </w:txbxContent>
                  </v:textbox>
                </v:shape>
                <w10:wrap type="topAndBottom" anchorx="page"/>
              </v:group>
            </w:pict>
          </mc:Fallback>
        </mc:AlternateContent>
      </w:r>
    </w:p>
    <w:p w14:paraId="4A248A4A" w14:textId="77777777" w:rsidR="00483D15" w:rsidRDefault="00483D15">
      <w:pPr>
        <w:pStyle w:val="BodyText"/>
      </w:pPr>
    </w:p>
    <w:p w14:paraId="76DA1AD0" w14:textId="77777777" w:rsidR="00483D15" w:rsidRDefault="00483D15">
      <w:pPr>
        <w:pStyle w:val="BodyText"/>
      </w:pPr>
    </w:p>
    <w:p w14:paraId="284386EA" w14:textId="77777777" w:rsidR="00483D15" w:rsidRDefault="00483D15">
      <w:pPr>
        <w:pStyle w:val="BodyText"/>
        <w:spacing w:before="42"/>
      </w:pPr>
    </w:p>
    <w:p w14:paraId="419B8178" w14:textId="77777777" w:rsidR="00483D15" w:rsidRDefault="00000000">
      <w:pPr>
        <w:pStyle w:val="Heading4"/>
        <w:numPr>
          <w:ilvl w:val="0"/>
          <w:numId w:val="30"/>
        </w:numPr>
        <w:tabs>
          <w:tab w:val="left" w:pos="1242"/>
        </w:tabs>
        <w:ind w:hanging="397"/>
      </w:pPr>
      <w:r>
        <w:t>Collecting</w:t>
      </w:r>
      <w:r>
        <w:rPr>
          <w:spacing w:val="-9"/>
        </w:rPr>
        <w:t xml:space="preserve"> </w:t>
      </w:r>
      <w:r>
        <w:t>data</w:t>
      </w:r>
      <w:r>
        <w:rPr>
          <w:spacing w:val="-7"/>
        </w:rPr>
        <w:t xml:space="preserve"> </w:t>
      </w:r>
      <w:r>
        <w:t>against</w:t>
      </w:r>
      <w:r>
        <w:rPr>
          <w:spacing w:val="-7"/>
        </w:rPr>
        <w:t xml:space="preserve"> </w:t>
      </w:r>
      <w:r>
        <w:t>the</w:t>
      </w:r>
      <w:r>
        <w:rPr>
          <w:spacing w:val="-8"/>
        </w:rPr>
        <w:t xml:space="preserve"> </w:t>
      </w:r>
      <w:r>
        <w:rPr>
          <w:spacing w:val="-4"/>
        </w:rPr>
        <w:t>KPIs</w:t>
      </w:r>
    </w:p>
    <w:p w14:paraId="05C2B6DB" w14:textId="77777777" w:rsidR="00483D15" w:rsidRDefault="00000000">
      <w:pPr>
        <w:pStyle w:val="BodyText"/>
        <w:spacing w:before="255" w:line="360" w:lineRule="auto"/>
        <w:ind w:left="21" w:right="876"/>
      </w:pPr>
      <w:r>
        <w:t>Since</w:t>
      </w:r>
      <w:r>
        <w:rPr>
          <w:spacing w:val="-3"/>
        </w:rPr>
        <w:t xml:space="preserve"> </w:t>
      </w:r>
      <w:r>
        <w:t>2015,</w:t>
      </w:r>
      <w:r>
        <w:rPr>
          <w:spacing w:val="-4"/>
        </w:rPr>
        <w:t xml:space="preserve"> </w:t>
      </w:r>
      <w:r>
        <w:t>65</w:t>
      </w:r>
      <w:r>
        <w:rPr>
          <w:spacing w:val="-4"/>
        </w:rPr>
        <w:t xml:space="preserve"> </w:t>
      </w:r>
      <w:r>
        <w:t>development</w:t>
      </w:r>
      <w:r>
        <w:rPr>
          <w:spacing w:val="-4"/>
        </w:rPr>
        <w:t xml:space="preserve"> </w:t>
      </w:r>
      <w:r>
        <w:t>proposals</w:t>
      </w:r>
      <w:r>
        <w:rPr>
          <w:spacing w:val="-2"/>
        </w:rPr>
        <w:t xml:space="preserve"> </w:t>
      </w:r>
      <w:r>
        <w:t>have</w:t>
      </w:r>
      <w:r>
        <w:rPr>
          <w:spacing w:val="-4"/>
        </w:rPr>
        <w:t xml:space="preserve"> </w:t>
      </w:r>
      <w:r>
        <w:t>been</w:t>
      </w:r>
      <w:r>
        <w:rPr>
          <w:spacing w:val="-4"/>
        </w:rPr>
        <w:t xml:space="preserve"> </w:t>
      </w:r>
      <w:r>
        <w:t>assessed</w:t>
      </w:r>
      <w:r>
        <w:rPr>
          <w:spacing w:val="-4"/>
        </w:rPr>
        <w:t xml:space="preserve"> </w:t>
      </w:r>
      <w:r>
        <w:t>under</w:t>
      </w:r>
      <w:r>
        <w:rPr>
          <w:spacing w:val="-1"/>
        </w:rPr>
        <w:t xml:space="preserve"> </w:t>
      </w:r>
      <w:r>
        <w:t>the</w:t>
      </w:r>
      <w:r>
        <w:rPr>
          <w:spacing w:val="-3"/>
        </w:rPr>
        <w:t xml:space="preserve"> </w:t>
      </w:r>
      <w:r>
        <w:t>Bilateral</w:t>
      </w:r>
      <w:r>
        <w:rPr>
          <w:spacing w:val="-3"/>
        </w:rPr>
        <w:t xml:space="preserve"> </w:t>
      </w:r>
      <w:r>
        <w:t>or</w:t>
      </w:r>
      <w:r>
        <w:rPr>
          <w:spacing w:val="-4"/>
        </w:rPr>
        <w:t xml:space="preserve"> </w:t>
      </w:r>
      <w:r>
        <w:t>Accredited</w:t>
      </w:r>
      <w:r>
        <w:rPr>
          <w:spacing w:val="-3"/>
        </w:rPr>
        <w:t xml:space="preserve"> </w:t>
      </w:r>
      <w:r>
        <w:t>Assessments (Bilateral Assessments) within the NSW assessment system.</w:t>
      </w:r>
    </w:p>
    <w:p w14:paraId="19EDB65E" w14:textId="77777777" w:rsidR="00483D15" w:rsidRDefault="00000000">
      <w:pPr>
        <w:pStyle w:val="BodyText"/>
        <w:spacing w:before="80" w:line="360" w:lineRule="auto"/>
        <w:ind w:left="21" w:right="923"/>
      </w:pPr>
      <w:r>
        <w:t>The NSW and Australian Government agreed on a list of 21 projects to be included in this review (Appendix</w:t>
      </w:r>
      <w:r>
        <w:rPr>
          <w:spacing w:val="-3"/>
        </w:rPr>
        <w:t xml:space="preserve"> </w:t>
      </w:r>
      <w:r>
        <w:t>B).</w:t>
      </w:r>
      <w:r>
        <w:rPr>
          <w:spacing w:val="-3"/>
        </w:rPr>
        <w:t xml:space="preserve"> </w:t>
      </w:r>
      <w:r>
        <w:t>These</w:t>
      </w:r>
      <w:r>
        <w:rPr>
          <w:spacing w:val="-3"/>
        </w:rPr>
        <w:t xml:space="preserve"> </w:t>
      </w:r>
      <w:r>
        <w:t>projects</w:t>
      </w:r>
      <w:r>
        <w:rPr>
          <w:spacing w:val="-3"/>
        </w:rPr>
        <w:t xml:space="preserve"> </w:t>
      </w:r>
      <w:r>
        <w:t>have</w:t>
      </w:r>
      <w:r>
        <w:rPr>
          <w:spacing w:val="-3"/>
        </w:rPr>
        <w:t xml:space="preserve"> </w:t>
      </w:r>
      <w:r>
        <w:t>completed</w:t>
      </w:r>
      <w:r>
        <w:rPr>
          <w:spacing w:val="-3"/>
        </w:rPr>
        <w:t xml:space="preserve"> </w:t>
      </w:r>
      <w:r>
        <w:t>an</w:t>
      </w:r>
      <w:r>
        <w:rPr>
          <w:spacing w:val="-3"/>
        </w:rPr>
        <w:t xml:space="preserve"> </w:t>
      </w:r>
      <w:r>
        <w:t>assessment</w:t>
      </w:r>
      <w:r>
        <w:rPr>
          <w:spacing w:val="-3"/>
        </w:rPr>
        <w:t xml:space="preserve"> </w:t>
      </w:r>
      <w:r>
        <w:t>under</w:t>
      </w:r>
      <w:r>
        <w:rPr>
          <w:spacing w:val="-3"/>
        </w:rPr>
        <w:t xml:space="preserve"> </w:t>
      </w:r>
      <w:r>
        <w:t>the</w:t>
      </w:r>
      <w:r>
        <w:rPr>
          <w:spacing w:val="-3"/>
        </w:rPr>
        <w:t xml:space="preserve"> </w:t>
      </w:r>
      <w:r>
        <w:t>Agreement.</w:t>
      </w:r>
      <w:r>
        <w:rPr>
          <w:spacing w:val="40"/>
        </w:rPr>
        <w:t xml:space="preserve"> </w:t>
      </w:r>
      <w:r>
        <w:t>It</w:t>
      </w:r>
      <w:r>
        <w:rPr>
          <w:spacing w:val="-3"/>
        </w:rPr>
        <w:t xml:space="preserve"> </w:t>
      </w:r>
      <w:r>
        <w:t>does</w:t>
      </w:r>
      <w:r>
        <w:rPr>
          <w:spacing w:val="-2"/>
        </w:rPr>
        <w:t xml:space="preserve"> </w:t>
      </w:r>
      <w:r>
        <w:t>not</w:t>
      </w:r>
      <w:r>
        <w:rPr>
          <w:spacing w:val="-3"/>
        </w:rPr>
        <w:t xml:space="preserve"> </w:t>
      </w:r>
      <w:r>
        <w:t>include projects currently being assessed.</w:t>
      </w:r>
    </w:p>
    <w:p w14:paraId="4F7A0093" w14:textId="77777777" w:rsidR="00483D15" w:rsidRDefault="00000000">
      <w:pPr>
        <w:pStyle w:val="BodyText"/>
        <w:spacing w:before="81" w:line="360" w:lineRule="auto"/>
        <w:ind w:left="21" w:right="938" w:hanging="1"/>
      </w:pPr>
      <w:r>
        <w:t xml:space="preserve">The review included analysis of 13 KPI data for these 21 projects. The KPIs were agreed to by the SOC in </w:t>
      </w:r>
      <w:proofErr w:type="gramStart"/>
      <w:r>
        <w:t>2015,</w:t>
      </w:r>
      <w:r>
        <w:rPr>
          <w:spacing w:val="-2"/>
        </w:rPr>
        <w:t xml:space="preserve"> </w:t>
      </w:r>
      <w:r>
        <w:t>and</w:t>
      </w:r>
      <w:proofErr w:type="gramEnd"/>
      <w:r>
        <w:rPr>
          <w:spacing w:val="-3"/>
        </w:rPr>
        <w:t xml:space="preserve"> </w:t>
      </w:r>
      <w:r>
        <w:t>updated</w:t>
      </w:r>
      <w:r>
        <w:rPr>
          <w:spacing w:val="-2"/>
        </w:rPr>
        <w:t xml:space="preserve"> </w:t>
      </w:r>
      <w:r>
        <w:t>in</w:t>
      </w:r>
      <w:r>
        <w:rPr>
          <w:spacing w:val="-3"/>
        </w:rPr>
        <w:t xml:space="preserve"> </w:t>
      </w:r>
      <w:r>
        <w:t>2019</w:t>
      </w:r>
      <w:r>
        <w:rPr>
          <w:spacing w:val="-3"/>
        </w:rPr>
        <w:t xml:space="preserve"> </w:t>
      </w:r>
      <w:r>
        <w:t>to</w:t>
      </w:r>
      <w:r>
        <w:rPr>
          <w:spacing w:val="-2"/>
        </w:rPr>
        <w:t xml:space="preserve"> </w:t>
      </w:r>
      <w:r>
        <w:t>reflect</w:t>
      </w:r>
      <w:r>
        <w:rPr>
          <w:spacing w:val="-2"/>
        </w:rPr>
        <w:t xml:space="preserve"> </w:t>
      </w:r>
      <w:r>
        <w:t>proposed</w:t>
      </w:r>
      <w:r>
        <w:rPr>
          <w:spacing w:val="-3"/>
        </w:rPr>
        <w:t xml:space="preserve"> </w:t>
      </w:r>
      <w:r>
        <w:t>changes</w:t>
      </w:r>
      <w:r>
        <w:rPr>
          <w:spacing w:val="-3"/>
        </w:rPr>
        <w:t xml:space="preserve"> </w:t>
      </w:r>
      <w:r>
        <w:t>in</w:t>
      </w:r>
      <w:r>
        <w:rPr>
          <w:spacing w:val="-2"/>
        </w:rPr>
        <w:t xml:space="preserve"> </w:t>
      </w:r>
      <w:r>
        <w:t>offsetting</w:t>
      </w:r>
      <w:r>
        <w:rPr>
          <w:spacing w:val="-3"/>
        </w:rPr>
        <w:t xml:space="preserve"> </w:t>
      </w:r>
      <w:r>
        <w:t>arrangements</w:t>
      </w:r>
      <w:r>
        <w:rPr>
          <w:spacing w:val="-3"/>
        </w:rPr>
        <w:t xml:space="preserve"> </w:t>
      </w:r>
      <w:r>
        <w:t>and</w:t>
      </w:r>
      <w:r>
        <w:rPr>
          <w:spacing w:val="-3"/>
        </w:rPr>
        <w:t xml:space="preserve"> </w:t>
      </w:r>
      <w:r>
        <w:t>to</w:t>
      </w:r>
      <w:r>
        <w:rPr>
          <w:spacing w:val="-1"/>
        </w:rPr>
        <w:t xml:space="preserve"> </w:t>
      </w:r>
      <w:r>
        <w:t>better</w:t>
      </w:r>
      <w:r>
        <w:rPr>
          <w:spacing w:val="-2"/>
        </w:rPr>
        <w:t xml:space="preserve"> </w:t>
      </w:r>
      <w:r>
        <w:t>provide a framework for ongoing review, reporting and improvement.</w:t>
      </w:r>
      <w:r>
        <w:rPr>
          <w:spacing w:val="40"/>
        </w:rPr>
        <w:t xml:space="preserve"> </w:t>
      </w:r>
      <w:r>
        <w:t xml:space="preserve">The KPIs are set out </w:t>
      </w:r>
      <w:proofErr w:type="gramStart"/>
      <w:r>
        <w:t>in</w:t>
      </w:r>
      <w:proofErr w:type="gramEnd"/>
      <w:r>
        <w:t xml:space="preserve"> the table below, </w:t>
      </w:r>
      <w:proofErr w:type="gramStart"/>
      <w:r>
        <w:t>and also</w:t>
      </w:r>
      <w:proofErr w:type="gramEnd"/>
      <w:r>
        <w:t xml:space="preserve"> in the Nous Group Report (Attachment C).</w:t>
      </w:r>
    </w:p>
    <w:p w14:paraId="1674EBBC" w14:textId="77777777" w:rsidR="00483D15" w:rsidRDefault="00000000">
      <w:pPr>
        <w:pStyle w:val="BodyText"/>
        <w:spacing w:before="79" w:line="360" w:lineRule="auto"/>
        <w:ind w:left="21" w:right="923"/>
      </w:pPr>
      <w:r>
        <w:t>The</w:t>
      </w:r>
      <w:r>
        <w:rPr>
          <w:spacing w:val="-2"/>
        </w:rPr>
        <w:t xml:space="preserve"> </w:t>
      </w:r>
      <w:r>
        <w:t>SOC</w:t>
      </w:r>
      <w:r>
        <w:rPr>
          <w:spacing w:val="-3"/>
        </w:rPr>
        <w:t xml:space="preserve"> </w:t>
      </w:r>
      <w:r>
        <w:t>agreed</w:t>
      </w:r>
      <w:r>
        <w:rPr>
          <w:spacing w:val="-3"/>
        </w:rPr>
        <w:t xml:space="preserve"> </w:t>
      </w:r>
      <w:r>
        <w:t>that</w:t>
      </w:r>
      <w:r>
        <w:rPr>
          <w:spacing w:val="-3"/>
        </w:rPr>
        <w:t xml:space="preserve"> </w:t>
      </w:r>
      <w:r>
        <w:t>some</w:t>
      </w:r>
      <w:r>
        <w:rPr>
          <w:spacing w:val="-2"/>
        </w:rPr>
        <w:t xml:space="preserve"> </w:t>
      </w:r>
      <w:r>
        <w:t>KPIs</w:t>
      </w:r>
      <w:r>
        <w:rPr>
          <w:spacing w:val="-2"/>
        </w:rPr>
        <w:t xml:space="preserve"> </w:t>
      </w:r>
      <w:r>
        <w:t>apply</w:t>
      </w:r>
      <w:r>
        <w:rPr>
          <w:spacing w:val="-2"/>
        </w:rPr>
        <w:t xml:space="preserve"> </w:t>
      </w:r>
      <w:r>
        <w:t>to</w:t>
      </w:r>
      <w:r>
        <w:rPr>
          <w:spacing w:val="-1"/>
        </w:rPr>
        <w:t xml:space="preserve"> </w:t>
      </w:r>
      <w:r>
        <w:t>all</w:t>
      </w:r>
      <w:r>
        <w:rPr>
          <w:spacing w:val="-3"/>
        </w:rPr>
        <w:t xml:space="preserve"> </w:t>
      </w:r>
      <w:r>
        <w:t>projects,</w:t>
      </w:r>
      <w:r>
        <w:rPr>
          <w:spacing w:val="-3"/>
        </w:rPr>
        <w:t xml:space="preserve"> </w:t>
      </w:r>
      <w:r>
        <w:t>i.e.,</w:t>
      </w:r>
      <w:r>
        <w:rPr>
          <w:spacing w:val="-3"/>
        </w:rPr>
        <w:t xml:space="preserve"> </w:t>
      </w:r>
      <w:r>
        <w:t>they</w:t>
      </w:r>
      <w:r>
        <w:rPr>
          <w:spacing w:val="-3"/>
        </w:rPr>
        <w:t xml:space="preserve"> </w:t>
      </w:r>
      <w:r>
        <w:t>focus</w:t>
      </w:r>
      <w:r>
        <w:rPr>
          <w:spacing w:val="-3"/>
        </w:rPr>
        <w:t xml:space="preserve"> </w:t>
      </w:r>
      <w:r>
        <w:t>on</w:t>
      </w:r>
      <w:r>
        <w:rPr>
          <w:spacing w:val="-3"/>
        </w:rPr>
        <w:t xml:space="preserve"> </w:t>
      </w:r>
      <w:r>
        <w:t>the</w:t>
      </w:r>
      <w:r>
        <w:rPr>
          <w:spacing w:val="-3"/>
        </w:rPr>
        <w:t xml:space="preserve"> </w:t>
      </w:r>
      <w:r>
        <w:t>total</w:t>
      </w:r>
      <w:r>
        <w:rPr>
          <w:spacing w:val="-2"/>
        </w:rPr>
        <w:t xml:space="preserve"> </w:t>
      </w:r>
      <w:r>
        <w:t>impact</w:t>
      </w:r>
      <w:r>
        <w:rPr>
          <w:spacing w:val="-3"/>
        </w:rPr>
        <w:t xml:space="preserve"> </w:t>
      </w:r>
      <w:r>
        <w:t>of</w:t>
      </w:r>
      <w:r>
        <w:rPr>
          <w:spacing w:val="-2"/>
        </w:rPr>
        <w:t xml:space="preserve"> </w:t>
      </w:r>
      <w:r>
        <w:t>all</w:t>
      </w:r>
      <w:r>
        <w:rPr>
          <w:spacing w:val="-2"/>
        </w:rPr>
        <w:t xml:space="preserve"> </w:t>
      </w:r>
      <w:r>
        <w:t>projects assessed under the Agreement, while others KPIs are applicable to only a sample of 14 determined projects to enable a more detailed review of these projects.</w:t>
      </w:r>
    </w:p>
    <w:p w14:paraId="1E844718" w14:textId="77777777" w:rsidR="00483D15" w:rsidRDefault="00000000">
      <w:pPr>
        <w:pStyle w:val="BodyText"/>
        <w:spacing w:before="80" w:line="360" w:lineRule="auto"/>
        <w:ind w:left="22" w:right="923"/>
      </w:pPr>
      <w:r>
        <w:t>DPIE</w:t>
      </w:r>
      <w:r>
        <w:rPr>
          <w:spacing w:val="-3"/>
        </w:rPr>
        <w:t xml:space="preserve"> </w:t>
      </w:r>
      <w:r>
        <w:t>and</w:t>
      </w:r>
      <w:r>
        <w:rPr>
          <w:spacing w:val="-3"/>
        </w:rPr>
        <w:t xml:space="preserve"> </w:t>
      </w:r>
      <w:r>
        <w:t>DAWE</w:t>
      </w:r>
      <w:r>
        <w:rPr>
          <w:spacing w:val="-3"/>
        </w:rPr>
        <w:t xml:space="preserve"> </w:t>
      </w:r>
      <w:r>
        <w:t>collected</w:t>
      </w:r>
      <w:r>
        <w:rPr>
          <w:spacing w:val="-2"/>
        </w:rPr>
        <w:t xml:space="preserve"> </w:t>
      </w:r>
      <w:r>
        <w:t>data</w:t>
      </w:r>
      <w:r>
        <w:rPr>
          <w:spacing w:val="-3"/>
        </w:rPr>
        <w:t xml:space="preserve"> </w:t>
      </w:r>
      <w:r>
        <w:t>against</w:t>
      </w:r>
      <w:r>
        <w:rPr>
          <w:spacing w:val="-2"/>
        </w:rPr>
        <w:t xml:space="preserve"> </w:t>
      </w:r>
      <w:r>
        <w:t>each</w:t>
      </w:r>
      <w:r>
        <w:rPr>
          <w:spacing w:val="-3"/>
        </w:rPr>
        <w:t xml:space="preserve"> </w:t>
      </w:r>
      <w:r>
        <w:t>KPI</w:t>
      </w:r>
      <w:r>
        <w:rPr>
          <w:spacing w:val="-3"/>
        </w:rPr>
        <w:t xml:space="preserve"> </w:t>
      </w:r>
      <w:r>
        <w:t>from</w:t>
      </w:r>
      <w:r>
        <w:rPr>
          <w:spacing w:val="-3"/>
        </w:rPr>
        <w:t xml:space="preserve"> </w:t>
      </w:r>
      <w:r>
        <w:t>publicly</w:t>
      </w:r>
      <w:r>
        <w:rPr>
          <w:spacing w:val="-3"/>
        </w:rPr>
        <w:t xml:space="preserve"> </w:t>
      </w:r>
      <w:r>
        <w:t>available</w:t>
      </w:r>
      <w:r>
        <w:rPr>
          <w:spacing w:val="-3"/>
        </w:rPr>
        <w:t xml:space="preserve"> </w:t>
      </w:r>
      <w:r>
        <w:t>assessment</w:t>
      </w:r>
      <w:r>
        <w:rPr>
          <w:spacing w:val="-3"/>
        </w:rPr>
        <w:t xml:space="preserve"> </w:t>
      </w:r>
      <w:r>
        <w:t>reports,</w:t>
      </w:r>
      <w:r>
        <w:rPr>
          <w:spacing w:val="-3"/>
        </w:rPr>
        <w:t xml:space="preserve"> </w:t>
      </w:r>
      <w:r>
        <w:t>business</w:t>
      </w:r>
      <w:r>
        <w:rPr>
          <w:spacing w:val="-3"/>
        </w:rPr>
        <w:t xml:space="preserve"> </w:t>
      </w:r>
      <w:r>
        <w:t xml:space="preserve">as usual activities, and annual reports to the SOC. Independent consultants, </w:t>
      </w:r>
      <w:proofErr w:type="spellStart"/>
      <w:r>
        <w:t>WolfPeak</w:t>
      </w:r>
      <w:proofErr w:type="spellEnd"/>
      <w:r>
        <w:t xml:space="preserve">, also compiled KPI data. They then </w:t>
      </w:r>
      <w:proofErr w:type="spellStart"/>
      <w:r>
        <w:t>analysed</w:t>
      </w:r>
      <w:proofErr w:type="spellEnd"/>
      <w:r>
        <w:t xml:space="preserve"> the collective data to produce quantitative figures for each KPI.</w:t>
      </w:r>
    </w:p>
    <w:p w14:paraId="53A8153F" w14:textId="77777777" w:rsidR="00483D15" w:rsidRDefault="00483D15">
      <w:pPr>
        <w:pStyle w:val="BodyText"/>
        <w:spacing w:line="360" w:lineRule="auto"/>
        <w:sectPr w:rsidR="00483D15">
          <w:pgSz w:w="11910" w:h="16840"/>
          <w:pgMar w:top="1400" w:right="566" w:bottom="1200" w:left="992" w:header="0" w:footer="1000" w:gutter="0"/>
          <w:cols w:space="720"/>
        </w:sectPr>
      </w:pPr>
    </w:p>
    <w:p w14:paraId="7243EE32" w14:textId="77777777" w:rsidR="00483D15" w:rsidRDefault="00483D15">
      <w:pPr>
        <w:pStyle w:val="BodyText"/>
        <w:rPr>
          <w:sz w:val="2"/>
        </w:rPr>
      </w:pPr>
    </w:p>
    <w:tbl>
      <w:tblPr>
        <w:tblW w:w="0" w:type="auto"/>
        <w:tblInd w:w="3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847"/>
        <w:gridCol w:w="8169"/>
      </w:tblGrid>
      <w:tr w:rsidR="00483D15" w14:paraId="10D15CCC" w14:textId="77777777">
        <w:trPr>
          <w:trHeight w:val="1327"/>
        </w:trPr>
        <w:tc>
          <w:tcPr>
            <w:tcW w:w="847" w:type="dxa"/>
          </w:tcPr>
          <w:p w14:paraId="3315EBFA" w14:textId="77777777" w:rsidR="00483D15" w:rsidRDefault="00000000">
            <w:pPr>
              <w:pStyle w:val="TableParagraph"/>
              <w:ind w:left="107"/>
            </w:pPr>
            <w:r>
              <w:t>KPI</w:t>
            </w:r>
            <w:r>
              <w:rPr>
                <w:spacing w:val="-5"/>
              </w:rPr>
              <w:t xml:space="preserve"> </w:t>
            </w:r>
            <w:r>
              <w:rPr>
                <w:spacing w:val="-10"/>
              </w:rPr>
              <w:t>1</w:t>
            </w:r>
          </w:p>
        </w:tc>
        <w:tc>
          <w:tcPr>
            <w:tcW w:w="8169" w:type="dxa"/>
          </w:tcPr>
          <w:p w14:paraId="6B0A9A61" w14:textId="77777777" w:rsidR="00483D15" w:rsidRDefault="00000000">
            <w:pPr>
              <w:pStyle w:val="TableParagraph"/>
              <w:spacing w:line="360" w:lineRule="auto"/>
              <w:ind w:left="107" w:right="137"/>
            </w:pPr>
            <w:r>
              <w:t>The proportion of projects that were assessed by NSW through an accredited process but</w:t>
            </w:r>
            <w:r>
              <w:rPr>
                <w:spacing w:val="-3"/>
              </w:rPr>
              <w:t xml:space="preserve"> </w:t>
            </w:r>
            <w:r>
              <w:t>were</w:t>
            </w:r>
            <w:r>
              <w:rPr>
                <w:spacing w:val="-3"/>
              </w:rPr>
              <w:t xml:space="preserve"> </w:t>
            </w:r>
            <w:r>
              <w:t>not</w:t>
            </w:r>
            <w:r>
              <w:rPr>
                <w:spacing w:val="-3"/>
              </w:rPr>
              <w:t xml:space="preserve"> </w:t>
            </w:r>
            <w:r>
              <w:t>assessed</w:t>
            </w:r>
            <w:r>
              <w:rPr>
                <w:spacing w:val="-4"/>
              </w:rPr>
              <w:t xml:space="preserve"> </w:t>
            </w:r>
            <w:r>
              <w:t>through</w:t>
            </w:r>
            <w:r>
              <w:rPr>
                <w:spacing w:val="-3"/>
              </w:rPr>
              <w:t xml:space="preserve"> </w:t>
            </w:r>
            <w:r>
              <w:t>the</w:t>
            </w:r>
            <w:r>
              <w:rPr>
                <w:spacing w:val="-3"/>
              </w:rPr>
              <w:t xml:space="preserve"> </w:t>
            </w:r>
            <w:r>
              <w:t>Agreement</w:t>
            </w:r>
            <w:r>
              <w:rPr>
                <w:spacing w:val="-4"/>
              </w:rPr>
              <w:t xml:space="preserve"> </w:t>
            </w:r>
            <w:r>
              <w:t>to</w:t>
            </w:r>
            <w:r>
              <w:rPr>
                <w:spacing w:val="-2"/>
              </w:rPr>
              <w:t xml:space="preserve"> </w:t>
            </w:r>
            <w:r>
              <w:t>understand</w:t>
            </w:r>
            <w:r>
              <w:rPr>
                <w:spacing w:val="-4"/>
              </w:rPr>
              <w:t xml:space="preserve"> </w:t>
            </w:r>
            <w:r>
              <w:t>whether</w:t>
            </w:r>
            <w:r>
              <w:rPr>
                <w:spacing w:val="-4"/>
              </w:rPr>
              <w:t xml:space="preserve"> </w:t>
            </w:r>
            <w:r>
              <w:t>the</w:t>
            </w:r>
            <w:r>
              <w:rPr>
                <w:spacing w:val="-4"/>
              </w:rPr>
              <w:t xml:space="preserve"> </w:t>
            </w:r>
            <w:r>
              <w:t>scope</w:t>
            </w:r>
            <w:r>
              <w:rPr>
                <w:spacing w:val="-3"/>
              </w:rPr>
              <w:t xml:space="preserve"> </w:t>
            </w:r>
            <w:r>
              <w:t>of</w:t>
            </w:r>
            <w:r>
              <w:rPr>
                <w:spacing w:val="-4"/>
              </w:rPr>
              <w:t xml:space="preserve"> </w:t>
            </w:r>
            <w:r>
              <w:t xml:space="preserve">the Agreement is being fully </w:t>
            </w:r>
            <w:proofErr w:type="spellStart"/>
            <w:r>
              <w:t>realised</w:t>
            </w:r>
            <w:proofErr w:type="spellEnd"/>
            <w:r>
              <w:t>.</w:t>
            </w:r>
          </w:p>
        </w:tc>
      </w:tr>
      <w:tr w:rsidR="00483D15" w14:paraId="5381949F" w14:textId="77777777">
        <w:trPr>
          <w:trHeight w:val="6681"/>
        </w:trPr>
        <w:tc>
          <w:tcPr>
            <w:tcW w:w="847" w:type="dxa"/>
          </w:tcPr>
          <w:p w14:paraId="4AE1C4C4" w14:textId="77777777" w:rsidR="00483D15" w:rsidRDefault="00000000">
            <w:pPr>
              <w:pStyle w:val="TableParagraph"/>
              <w:ind w:left="107"/>
            </w:pPr>
            <w:r>
              <w:t>KPI</w:t>
            </w:r>
            <w:r>
              <w:rPr>
                <w:spacing w:val="-5"/>
              </w:rPr>
              <w:t xml:space="preserve"> </w:t>
            </w:r>
            <w:r>
              <w:rPr>
                <w:spacing w:val="-10"/>
              </w:rPr>
              <w:t>2</w:t>
            </w:r>
          </w:p>
        </w:tc>
        <w:tc>
          <w:tcPr>
            <w:tcW w:w="8169" w:type="dxa"/>
          </w:tcPr>
          <w:p w14:paraId="5246780E" w14:textId="77777777" w:rsidR="00483D15" w:rsidRDefault="00000000">
            <w:pPr>
              <w:pStyle w:val="TableParagraph"/>
              <w:spacing w:line="360" w:lineRule="auto"/>
              <w:ind w:left="107" w:right="137"/>
            </w:pPr>
            <w:r>
              <w:t>The proportion of reviewed projects where the Assessment Report and related assessment</w:t>
            </w:r>
            <w:r>
              <w:rPr>
                <w:spacing w:val="-5"/>
              </w:rPr>
              <w:t xml:space="preserve"> </w:t>
            </w:r>
            <w:r>
              <w:t>documentation</w:t>
            </w:r>
            <w:r>
              <w:rPr>
                <w:spacing w:val="-5"/>
              </w:rPr>
              <w:t xml:space="preserve"> </w:t>
            </w:r>
            <w:r>
              <w:t>explicitly</w:t>
            </w:r>
            <w:r>
              <w:rPr>
                <w:spacing w:val="-5"/>
              </w:rPr>
              <w:t xml:space="preserve"> </w:t>
            </w:r>
            <w:proofErr w:type="spellStart"/>
            <w:r>
              <w:t>analysed</w:t>
            </w:r>
            <w:proofErr w:type="spellEnd"/>
            <w:r>
              <w:rPr>
                <w:spacing w:val="-5"/>
              </w:rPr>
              <w:t xml:space="preserve"> </w:t>
            </w:r>
            <w:r>
              <w:t>and/or</w:t>
            </w:r>
            <w:r>
              <w:rPr>
                <w:spacing w:val="-5"/>
              </w:rPr>
              <w:t xml:space="preserve"> </w:t>
            </w:r>
            <w:r>
              <w:t>described</w:t>
            </w:r>
            <w:r>
              <w:rPr>
                <w:spacing w:val="-4"/>
              </w:rPr>
              <w:t xml:space="preserve"> </w:t>
            </w:r>
            <w:r>
              <w:t>the</w:t>
            </w:r>
            <w:r>
              <w:rPr>
                <w:spacing w:val="-5"/>
              </w:rPr>
              <w:t xml:space="preserve"> </w:t>
            </w:r>
            <w:r>
              <w:t>matters</w:t>
            </w:r>
            <w:r>
              <w:rPr>
                <w:spacing w:val="-5"/>
              </w:rPr>
              <w:t xml:space="preserve"> </w:t>
            </w:r>
            <w:r>
              <w:t>required</w:t>
            </w:r>
            <w:r>
              <w:rPr>
                <w:spacing w:val="-4"/>
              </w:rPr>
              <w:t xml:space="preserve"> </w:t>
            </w:r>
            <w:r>
              <w:t>by the bilateral agreement, including:</w:t>
            </w:r>
          </w:p>
          <w:p w14:paraId="74789DA7" w14:textId="77777777" w:rsidR="00483D15" w:rsidRDefault="00000000">
            <w:pPr>
              <w:pStyle w:val="TableParagraph"/>
              <w:numPr>
                <w:ilvl w:val="0"/>
                <w:numId w:val="29"/>
              </w:numPr>
              <w:tabs>
                <w:tab w:val="left" w:pos="827"/>
              </w:tabs>
              <w:spacing w:before="120"/>
            </w:pPr>
            <w:r>
              <w:t>the</w:t>
            </w:r>
            <w:r>
              <w:rPr>
                <w:spacing w:val="-7"/>
              </w:rPr>
              <w:t xml:space="preserve"> </w:t>
            </w:r>
            <w:r>
              <w:t>likely</w:t>
            </w:r>
            <w:r>
              <w:rPr>
                <w:spacing w:val="-5"/>
              </w:rPr>
              <w:t xml:space="preserve"> </w:t>
            </w:r>
            <w:r>
              <w:t>impacts</w:t>
            </w:r>
            <w:r>
              <w:rPr>
                <w:spacing w:val="-6"/>
              </w:rPr>
              <w:t xml:space="preserve"> </w:t>
            </w:r>
            <w:r>
              <w:t>on</w:t>
            </w:r>
            <w:r>
              <w:rPr>
                <w:spacing w:val="-6"/>
              </w:rPr>
              <w:t xml:space="preserve"> </w:t>
            </w:r>
            <w:r>
              <w:rPr>
                <w:spacing w:val="-4"/>
              </w:rPr>
              <w:t>MNES;</w:t>
            </w:r>
          </w:p>
          <w:p w14:paraId="52451770" w14:textId="77777777" w:rsidR="00483D15" w:rsidRDefault="00000000">
            <w:pPr>
              <w:pStyle w:val="TableParagraph"/>
              <w:numPr>
                <w:ilvl w:val="0"/>
                <w:numId w:val="29"/>
              </w:numPr>
              <w:tabs>
                <w:tab w:val="left" w:pos="827"/>
              </w:tabs>
              <w:spacing w:before="254"/>
              <w:ind w:hanging="359"/>
            </w:pPr>
            <w:proofErr w:type="gramStart"/>
            <w:r>
              <w:t>any</w:t>
            </w:r>
            <w:proofErr w:type="gramEnd"/>
            <w:r>
              <w:rPr>
                <w:spacing w:val="-7"/>
              </w:rPr>
              <w:t xml:space="preserve"> </w:t>
            </w:r>
            <w:r>
              <w:t>expert</w:t>
            </w:r>
            <w:r>
              <w:rPr>
                <w:spacing w:val="-6"/>
              </w:rPr>
              <w:t xml:space="preserve"> </w:t>
            </w:r>
            <w:r>
              <w:t>advice</w:t>
            </w:r>
            <w:r>
              <w:rPr>
                <w:spacing w:val="-6"/>
              </w:rPr>
              <w:t xml:space="preserve"> </w:t>
            </w:r>
            <w:r>
              <w:rPr>
                <w:spacing w:val="-2"/>
              </w:rPr>
              <w:t>provided;</w:t>
            </w:r>
          </w:p>
          <w:p w14:paraId="3FA1029F" w14:textId="77777777" w:rsidR="00483D15" w:rsidRDefault="00000000">
            <w:pPr>
              <w:pStyle w:val="TableParagraph"/>
              <w:numPr>
                <w:ilvl w:val="0"/>
                <w:numId w:val="29"/>
              </w:numPr>
              <w:tabs>
                <w:tab w:val="left" w:pos="827"/>
              </w:tabs>
              <w:spacing w:before="254"/>
              <w:ind w:hanging="359"/>
            </w:pPr>
            <w:r>
              <w:t>the</w:t>
            </w:r>
            <w:r>
              <w:rPr>
                <w:spacing w:val="-7"/>
              </w:rPr>
              <w:t xml:space="preserve"> </w:t>
            </w:r>
            <w:r>
              <w:t>steps</w:t>
            </w:r>
            <w:r>
              <w:rPr>
                <w:spacing w:val="-7"/>
              </w:rPr>
              <w:t xml:space="preserve"> </w:t>
            </w:r>
            <w:r>
              <w:t>proposed</w:t>
            </w:r>
            <w:r>
              <w:rPr>
                <w:spacing w:val="-7"/>
              </w:rPr>
              <w:t xml:space="preserve"> </w:t>
            </w:r>
            <w:r>
              <w:t>to</w:t>
            </w:r>
            <w:r>
              <w:rPr>
                <w:spacing w:val="-6"/>
              </w:rPr>
              <w:t xml:space="preserve"> </w:t>
            </w:r>
            <w:r>
              <w:t>avoid</w:t>
            </w:r>
            <w:r>
              <w:rPr>
                <w:spacing w:val="-7"/>
              </w:rPr>
              <w:t xml:space="preserve"> </w:t>
            </w:r>
            <w:r>
              <w:t>or</w:t>
            </w:r>
            <w:r>
              <w:rPr>
                <w:spacing w:val="-7"/>
              </w:rPr>
              <w:t xml:space="preserve"> </w:t>
            </w:r>
            <w:r>
              <w:t>mitigate</w:t>
            </w:r>
            <w:r>
              <w:rPr>
                <w:spacing w:val="-6"/>
              </w:rPr>
              <w:t xml:space="preserve"> </w:t>
            </w:r>
            <w:r>
              <w:t>those</w:t>
            </w:r>
            <w:r>
              <w:rPr>
                <w:spacing w:val="-7"/>
              </w:rPr>
              <w:t xml:space="preserve"> </w:t>
            </w:r>
            <w:r>
              <w:rPr>
                <w:spacing w:val="-2"/>
              </w:rPr>
              <w:t>impacts;</w:t>
            </w:r>
          </w:p>
          <w:p w14:paraId="1EEE6CEC" w14:textId="77777777" w:rsidR="00483D15" w:rsidRDefault="00000000">
            <w:pPr>
              <w:pStyle w:val="TableParagraph"/>
              <w:numPr>
                <w:ilvl w:val="0"/>
                <w:numId w:val="29"/>
              </w:numPr>
              <w:tabs>
                <w:tab w:val="left" w:pos="827"/>
              </w:tabs>
              <w:spacing w:before="255"/>
              <w:ind w:hanging="359"/>
            </w:pPr>
            <w:r>
              <w:t>the</w:t>
            </w:r>
            <w:r>
              <w:rPr>
                <w:spacing w:val="-8"/>
              </w:rPr>
              <w:t xml:space="preserve"> </w:t>
            </w:r>
            <w:r>
              <w:t>significance</w:t>
            </w:r>
            <w:r>
              <w:rPr>
                <w:spacing w:val="-7"/>
              </w:rPr>
              <w:t xml:space="preserve"> </w:t>
            </w:r>
            <w:r>
              <w:t>of</w:t>
            </w:r>
            <w:r>
              <w:rPr>
                <w:spacing w:val="-6"/>
              </w:rPr>
              <w:t xml:space="preserve"> </w:t>
            </w:r>
            <w:r>
              <w:t>the</w:t>
            </w:r>
            <w:r>
              <w:rPr>
                <w:spacing w:val="-6"/>
              </w:rPr>
              <w:t xml:space="preserve"> </w:t>
            </w:r>
            <w:r>
              <w:t>residual</w:t>
            </w:r>
            <w:r>
              <w:rPr>
                <w:spacing w:val="-8"/>
              </w:rPr>
              <w:t xml:space="preserve"> </w:t>
            </w:r>
            <w:r>
              <w:t>adverse</w:t>
            </w:r>
            <w:r>
              <w:rPr>
                <w:spacing w:val="-6"/>
              </w:rPr>
              <w:t xml:space="preserve"> </w:t>
            </w:r>
            <w:r>
              <w:rPr>
                <w:spacing w:val="-2"/>
              </w:rPr>
              <w:t>impact(s);</w:t>
            </w:r>
          </w:p>
          <w:p w14:paraId="3BD56770" w14:textId="77777777" w:rsidR="00483D15" w:rsidRDefault="00000000">
            <w:pPr>
              <w:pStyle w:val="TableParagraph"/>
              <w:numPr>
                <w:ilvl w:val="0"/>
                <w:numId w:val="29"/>
              </w:numPr>
              <w:tabs>
                <w:tab w:val="left" w:pos="827"/>
              </w:tabs>
              <w:spacing w:before="254" w:line="357" w:lineRule="auto"/>
              <w:ind w:right="1084"/>
            </w:pPr>
            <w:r>
              <w:t>the</w:t>
            </w:r>
            <w:r>
              <w:rPr>
                <w:spacing w:val="-4"/>
              </w:rPr>
              <w:t xml:space="preserve"> </w:t>
            </w:r>
            <w:r>
              <w:t>consistency</w:t>
            </w:r>
            <w:r>
              <w:rPr>
                <w:spacing w:val="-5"/>
              </w:rPr>
              <w:t xml:space="preserve"> </w:t>
            </w:r>
            <w:r>
              <w:t>or</w:t>
            </w:r>
            <w:r>
              <w:rPr>
                <w:spacing w:val="-5"/>
              </w:rPr>
              <w:t xml:space="preserve"> </w:t>
            </w:r>
            <w:r>
              <w:t>otherwise</w:t>
            </w:r>
            <w:r>
              <w:rPr>
                <w:spacing w:val="-5"/>
              </w:rPr>
              <w:t xml:space="preserve"> </w:t>
            </w:r>
            <w:r>
              <w:t>of</w:t>
            </w:r>
            <w:r>
              <w:rPr>
                <w:spacing w:val="-5"/>
              </w:rPr>
              <w:t xml:space="preserve"> </w:t>
            </w:r>
            <w:r>
              <w:t>the</w:t>
            </w:r>
            <w:r>
              <w:rPr>
                <w:spacing w:val="-4"/>
              </w:rPr>
              <w:t xml:space="preserve"> </w:t>
            </w:r>
            <w:r>
              <w:t>proposed</w:t>
            </w:r>
            <w:r>
              <w:rPr>
                <w:spacing w:val="-5"/>
              </w:rPr>
              <w:t xml:space="preserve"> </w:t>
            </w:r>
            <w:r>
              <w:t>action</w:t>
            </w:r>
            <w:r>
              <w:rPr>
                <w:spacing w:val="-3"/>
              </w:rPr>
              <w:t xml:space="preserve"> </w:t>
            </w:r>
            <w:r>
              <w:t>with</w:t>
            </w:r>
            <w:r>
              <w:rPr>
                <w:spacing w:val="-4"/>
              </w:rPr>
              <w:t xml:space="preserve"> </w:t>
            </w:r>
            <w:r>
              <w:t>the</w:t>
            </w:r>
            <w:r>
              <w:rPr>
                <w:spacing w:val="-4"/>
              </w:rPr>
              <w:t xml:space="preserve"> </w:t>
            </w:r>
            <w:r>
              <w:t xml:space="preserve">relevant </w:t>
            </w:r>
            <w:r>
              <w:rPr>
                <w:spacing w:val="-2"/>
              </w:rPr>
              <w:t>provision(s);</w:t>
            </w:r>
          </w:p>
          <w:p w14:paraId="04EDF507" w14:textId="77777777" w:rsidR="00483D15" w:rsidRDefault="00000000">
            <w:pPr>
              <w:pStyle w:val="TableParagraph"/>
              <w:numPr>
                <w:ilvl w:val="0"/>
                <w:numId w:val="29"/>
              </w:numPr>
              <w:tabs>
                <w:tab w:val="left" w:pos="827"/>
              </w:tabs>
              <w:spacing w:before="124" w:line="357" w:lineRule="auto"/>
              <w:ind w:right="1021"/>
            </w:pPr>
            <w:r>
              <w:t>the</w:t>
            </w:r>
            <w:r>
              <w:rPr>
                <w:spacing w:val="-3"/>
              </w:rPr>
              <w:t xml:space="preserve"> </w:t>
            </w:r>
            <w:r>
              <w:t>policies</w:t>
            </w:r>
            <w:r>
              <w:rPr>
                <w:spacing w:val="-4"/>
              </w:rPr>
              <w:t xml:space="preserve"> </w:t>
            </w:r>
            <w:r>
              <w:t>and</w:t>
            </w:r>
            <w:r>
              <w:rPr>
                <w:spacing w:val="-4"/>
              </w:rPr>
              <w:t xml:space="preserve"> </w:t>
            </w:r>
            <w:r>
              <w:t>guidelines</w:t>
            </w:r>
            <w:r>
              <w:rPr>
                <w:spacing w:val="-2"/>
              </w:rPr>
              <w:t xml:space="preserve"> </w:t>
            </w:r>
            <w:r>
              <w:t>relating</w:t>
            </w:r>
            <w:r>
              <w:rPr>
                <w:spacing w:val="-4"/>
              </w:rPr>
              <w:t xml:space="preserve"> </w:t>
            </w:r>
            <w:r>
              <w:t>to</w:t>
            </w:r>
            <w:r>
              <w:rPr>
                <w:spacing w:val="-2"/>
              </w:rPr>
              <w:t xml:space="preserve"> </w:t>
            </w:r>
            <w:r>
              <w:t>those</w:t>
            </w:r>
            <w:r>
              <w:rPr>
                <w:spacing w:val="-4"/>
              </w:rPr>
              <w:t xml:space="preserve"> </w:t>
            </w:r>
            <w:r>
              <w:t>MNES,</w:t>
            </w:r>
            <w:r>
              <w:rPr>
                <w:spacing w:val="-4"/>
              </w:rPr>
              <w:t xml:space="preserve"> </w:t>
            </w:r>
            <w:r>
              <w:t>and</w:t>
            </w:r>
            <w:r>
              <w:rPr>
                <w:spacing w:val="-4"/>
              </w:rPr>
              <w:t xml:space="preserve"> </w:t>
            </w:r>
            <w:r>
              <w:t>how</w:t>
            </w:r>
            <w:r>
              <w:rPr>
                <w:spacing w:val="-3"/>
              </w:rPr>
              <w:t xml:space="preserve"> </w:t>
            </w:r>
            <w:r>
              <w:t>they</w:t>
            </w:r>
            <w:r>
              <w:rPr>
                <w:spacing w:val="-3"/>
              </w:rPr>
              <w:t xml:space="preserve"> </w:t>
            </w:r>
            <w:r>
              <w:t>were considered or relied upon;</w:t>
            </w:r>
          </w:p>
          <w:p w14:paraId="37DDD001" w14:textId="77777777" w:rsidR="00483D15" w:rsidRDefault="00000000">
            <w:pPr>
              <w:pStyle w:val="TableParagraph"/>
              <w:numPr>
                <w:ilvl w:val="0"/>
                <w:numId w:val="29"/>
              </w:numPr>
              <w:tabs>
                <w:tab w:val="left" w:pos="827"/>
              </w:tabs>
              <w:spacing w:before="126" w:line="357" w:lineRule="auto"/>
              <w:ind w:right="883"/>
            </w:pPr>
            <w:r>
              <w:t>that</w:t>
            </w:r>
            <w:r>
              <w:rPr>
                <w:spacing w:val="-4"/>
              </w:rPr>
              <w:t xml:space="preserve"> </w:t>
            </w:r>
            <w:r>
              <w:t>the</w:t>
            </w:r>
            <w:r>
              <w:rPr>
                <w:spacing w:val="-4"/>
              </w:rPr>
              <w:t xml:space="preserve"> </w:t>
            </w:r>
            <w:r>
              <w:t>NSW</w:t>
            </w:r>
            <w:r>
              <w:rPr>
                <w:spacing w:val="-4"/>
              </w:rPr>
              <w:t xml:space="preserve"> </w:t>
            </w:r>
            <w:r>
              <w:t>decision-maker</w:t>
            </w:r>
            <w:r>
              <w:rPr>
                <w:spacing w:val="-5"/>
              </w:rPr>
              <w:t xml:space="preserve"> </w:t>
            </w:r>
            <w:r>
              <w:t>had</w:t>
            </w:r>
            <w:r>
              <w:rPr>
                <w:spacing w:val="-4"/>
              </w:rPr>
              <w:t xml:space="preserve"> </w:t>
            </w:r>
            <w:r>
              <w:t>regard</w:t>
            </w:r>
            <w:r>
              <w:rPr>
                <w:spacing w:val="-5"/>
              </w:rPr>
              <w:t xml:space="preserve"> </w:t>
            </w:r>
            <w:r>
              <w:t>to</w:t>
            </w:r>
            <w:r>
              <w:rPr>
                <w:spacing w:val="-3"/>
              </w:rPr>
              <w:t xml:space="preserve"> </w:t>
            </w:r>
            <w:r>
              <w:t>the</w:t>
            </w:r>
            <w:r>
              <w:rPr>
                <w:spacing w:val="-4"/>
              </w:rPr>
              <w:t xml:space="preserve"> </w:t>
            </w:r>
            <w:r>
              <w:t>principles</w:t>
            </w:r>
            <w:r>
              <w:rPr>
                <w:spacing w:val="-5"/>
              </w:rPr>
              <w:t xml:space="preserve"> </w:t>
            </w:r>
            <w:r>
              <w:t>of</w:t>
            </w:r>
            <w:r>
              <w:rPr>
                <w:spacing w:val="-5"/>
              </w:rPr>
              <w:t xml:space="preserve"> </w:t>
            </w:r>
            <w:r>
              <w:t>sustainable development or ecologically sustainable development, as set out in the applicable NSW Laws,</w:t>
            </w:r>
          </w:p>
        </w:tc>
      </w:tr>
      <w:tr w:rsidR="00483D15" w14:paraId="5170A683" w14:textId="77777777">
        <w:trPr>
          <w:trHeight w:val="3335"/>
        </w:trPr>
        <w:tc>
          <w:tcPr>
            <w:tcW w:w="847" w:type="dxa"/>
          </w:tcPr>
          <w:p w14:paraId="2D2F84EF" w14:textId="77777777" w:rsidR="00483D15" w:rsidRDefault="00000000">
            <w:pPr>
              <w:pStyle w:val="TableParagraph"/>
              <w:spacing w:before="1"/>
              <w:ind w:left="107"/>
            </w:pPr>
            <w:r>
              <w:t>KPI</w:t>
            </w:r>
            <w:r>
              <w:rPr>
                <w:spacing w:val="-5"/>
              </w:rPr>
              <w:t xml:space="preserve"> </w:t>
            </w:r>
            <w:r>
              <w:rPr>
                <w:spacing w:val="-10"/>
              </w:rPr>
              <w:t>3</w:t>
            </w:r>
          </w:p>
        </w:tc>
        <w:tc>
          <w:tcPr>
            <w:tcW w:w="8169" w:type="dxa"/>
          </w:tcPr>
          <w:p w14:paraId="130B9141" w14:textId="77777777" w:rsidR="00483D15" w:rsidRDefault="00000000">
            <w:pPr>
              <w:pStyle w:val="TableParagraph"/>
              <w:spacing w:before="1"/>
              <w:ind w:left="107"/>
            </w:pPr>
            <w:r>
              <w:t>The</w:t>
            </w:r>
            <w:r>
              <w:rPr>
                <w:spacing w:val="-8"/>
              </w:rPr>
              <w:t xml:space="preserve"> </w:t>
            </w:r>
            <w:r>
              <w:t>proportion</w:t>
            </w:r>
            <w:r>
              <w:rPr>
                <w:spacing w:val="-9"/>
              </w:rPr>
              <w:t xml:space="preserve"> </w:t>
            </w:r>
            <w:r>
              <w:t>of</w:t>
            </w:r>
            <w:r>
              <w:rPr>
                <w:spacing w:val="-9"/>
              </w:rPr>
              <w:t xml:space="preserve"> </w:t>
            </w:r>
            <w:r>
              <w:t>reviewed</w:t>
            </w:r>
            <w:r>
              <w:rPr>
                <w:spacing w:val="-8"/>
              </w:rPr>
              <w:t xml:space="preserve"> </w:t>
            </w:r>
            <w:r>
              <w:t>projects</w:t>
            </w:r>
            <w:r>
              <w:rPr>
                <w:spacing w:val="-9"/>
              </w:rPr>
              <w:t xml:space="preserve"> </w:t>
            </w:r>
            <w:proofErr w:type="gramStart"/>
            <w:r>
              <w:t>where</w:t>
            </w:r>
            <w:proofErr w:type="gramEnd"/>
            <w:r>
              <w:rPr>
                <w:spacing w:val="-9"/>
              </w:rPr>
              <w:t xml:space="preserve"> </w:t>
            </w:r>
            <w:r>
              <w:t>the</w:t>
            </w:r>
            <w:r>
              <w:rPr>
                <w:spacing w:val="-8"/>
              </w:rPr>
              <w:t xml:space="preserve"> </w:t>
            </w:r>
            <w:r>
              <w:t>Assessment</w:t>
            </w:r>
            <w:r>
              <w:rPr>
                <w:spacing w:val="-8"/>
              </w:rPr>
              <w:t xml:space="preserve"> </w:t>
            </w:r>
            <w:r>
              <w:rPr>
                <w:spacing w:val="-2"/>
              </w:rPr>
              <w:t>Report:</w:t>
            </w:r>
          </w:p>
          <w:p w14:paraId="3DD02894" w14:textId="77777777" w:rsidR="00483D15" w:rsidRDefault="00000000">
            <w:pPr>
              <w:pStyle w:val="TableParagraph"/>
              <w:numPr>
                <w:ilvl w:val="0"/>
                <w:numId w:val="28"/>
              </w:numPr>
              <w:tabs>
                <w:tab w:val="left" w:pos="827"/>
              </w:tabs>
              <w:spacing w:before="253" w:line="357" w:lineRule="auto"/>
              <w:ind w:right="735"/>
            </w:pPr>
            <w:r>
              <w:t>included</w:t>
            </w:r>
            <w:r>
              <w:rPr>
                <w:spacing w:val="-5"/>
              </w:rPr>
              <w:t xml:space="preserve"> </w:t>
            </w:r>
            <w:r>
              <w:t>the</w:t>
            </w:r>
            <w:r>
              <w:rPr>
                <w:spacing w:val="-5"/>
              </w:rPr>
              <w:t xml:space="preserve"> </w:t>
            </w:r>
            <w:r>
              <w:t>recommendations</w:t>
            </w:r>
            <w:r>
              <w:rPr>
                <w:spacing w:val="-6"/>
              </w:rPr>
              <w:t xml:space="preserve"> </w:t>
            </w:r>
            <w:r>
              <w:t>to</w:t>
            </w:r>
            <w:r>
              <w:rPr>
                <w:spacing w:val="-4"/>
              </w:rPr>
              <w:t xml:space="preserve"> </w:t>
            </w:r>
            <w:r>
              <w:t>the</w:t>
            </w:r>
            <w:r>
              <w:rPr>
                <w:spacing w:val="-5"/>
              </w:rPr>
              <w:t xml:space="preserve"> </w:t>
            </w:r>
            <w:r>
              <w:t>NSW</w:t>
            </w:r>
            <w:r>
              <w:rPr>
                <w:spacing w:val="-6"/>
              </w:rPr>
              <w:t xml:space="preserve"> </w:t>
            </w:r>
            <w:r>
              <w:t>and</w:t>
            </w:r>
            <w:r>
              <w:rPr>
                <w:spacing w:val="-5"/>
              </w:rPr>
              <w:t xml:space="preserve"> </w:t>
            </w:r>
            <w:r>
              <w:t>Commonwealth</w:t>
            </w:r>
            <w:r>
              <w:rPr>
                <w:spacing w:val="-5"/>
              </w:rPr>
              <w:t xml:space="preserve"> </w:t>
            </w:r>
            <w:r>
              <w:t>decision-makers regarding the approval of the action and any conditions;</w:t>
            </w:r>
          </w:p>
          <w:p w14:paraId="75B197EB" w14:textId="77777777" w:rsidR="00483D15" w:rsidRDefault="00000000">
            <w:pPr>
              <w:pStyle w:val="TableParagraph"/>
              <w:numPr>
                <w:ilvl w:val="0"/>
                <w:numId w:val="28"/>
              </w:numPr>
              <w:tabs>
                <w:tab w:val="left" w:pos="827"/>
              </w:tabs>
              <w:spacing w:before="126" w:line="355" w:lineRule="auto"/>
              <w:ind w:right="523"/>
            </w:pPr>
            <w:r>
              <w:t>provided</w:t>
            </w:r>
            <w:r>
              <w:rPr>
                <w:spacing w:val="-5"/>
              </w:rPr>
              <w:t xml:space="preserve"> </w:t>
            </w:r>
            <w:r>
              <w:t>reasons</w:t>
            </w:r>
            <w:r>
              <w:rPr>
                <w:spacing w:val="-5"/>
              </w:rPr>
              <w:t xml:space="preserve"> </w:t>
            </w:r>
            <w:r>
              <w:t>for</w:t>
            </w:r>
            <w:r>
              <w:rPr>
                <w:spacing w:val="-5"/>
              </w:rPr>
              <w:t xml:space="preserve"> </w:t>
            </w:r>
            <w:r>
              <w:t>the</w:t>
            </w:r>
            <w:r>
              <w:rPr>
                <w:spacing w:val="-5"/>
              </w:rPr>
              <w:t xml:space="preserve"> </w:t>
            </w:r>
            <w:r>
              <w:t>recommendations</w:t>
            </w:r>
            <w:r>
              <w:rPr>
                <w:spacing w:val="-5"/>
              </w:rPr>
              <w:t xml:space="preserve"> </w:t>
            </w:r>
            <w:r>
              <w:t>to</w:t>
            </w:r>
            <w:r>
              <w:rPr>
                <w:spacing w:val="-5"/>
              </w:rPr>
              <w:t xml:space="preserve"> </w:t>
            </w:r>
            <w:r>
              <w:t>the</w:t>
            </w:r>
            <w:r>
              <w:rPr>
                <w:spacing w:val="-5"/>
              </w:rPr>
              <w:t xml:space="preserve"> </w:t>
            </w:r>
            <w:r>
              <w:t>Commonwealth</w:t>
            </w:r>
            <w:r>
              <w:rPr>
                <w:spacing w:val="-5"/>
              </w:rPr>
              <w:t xml:space="preserve"> </w:t>
            </w:r>
            <w:r>
              <w:t>decision-</w:t>
            </w:r>
            <w:r>
              <w:rPr>
                <w:spacing w:val="-2"/>
              </w:rPr>
              <w:t>maker;</w:t>
            </w:r>
          </w:p>
          <w:p w14:paraId="391E10A0" w14:textId="77777777" w:rsidR="00483D15" w:rsidRDefault="00000000">
            <w:pPr>
              <w:pStyle w:val="TableParagraph"/>
              <w:numPr>
                <w:ilvl w:val="0"/>
                <w:numId w:val="28"/>
              </w:numPr>
              <w:tabs>
                <w:tab w:val="left" w:pos="827"/>
              </w:tabs>
              <w:spacing w:before="130" w:line="355" w:lineRule="auto"/>
              <w:ind w:right="230"/>
            </w:pPr>
            <w:r>
              <w:t>separately</w:t>
            </w:r>
            <w:r>
              <w:rPr>
                <w:spacing w:val="-5"/>
              </w:rPr>
              <w:t xml:space="preserve"> </w:t>
            </w:r>
            <w:r>
              <w:t>identified</w:t>
            </w:r>
            <w:r>
              <w:rPr>
                <w:spacing w:val="-5"/>
              </w:rPr>
              <w:t xml:space="preserve"> </w:t>
            </w:r>
            <w:r>
              <w:t>any</w:t>
            </w:r>
            <w:r>
              <w:rPr>
                <w:spacing w:val="-4"/>
              </w:rPr>
              <w:t xml:space="preserve"> </w:t>
            </w:r>
            <w:r>
              <w:t>recommended</w:t>
            </w:r>
            <w:r>
              <w:rPr>
                <w:spacing w:val="-5"/>
              </w:rPr>
              <w:t xml:space="preserve"> </w:t>
            </w:r>
            <w:r>
              <w:t>conditions</w:t>
            </w:r>
            <w:r>
              <w:rPr>
                <w:spacing w:val="-5"/>
              </w:rPr>
              <w:t xml:space="preserve"> </w:t>
            </w:r>
            <w:r>
              <w:t>relating</w:t>
            </w:r>
            <w:r>
              <w:rPr>
                <w:spacing w:val="-4"/>
              </w:rPr>
              <w:t xml:space="preserve"> </w:t>
            </w:r>
            <w:r>
              <w:t>to</w:t>
            </w:r>
            <w:r>
              <w:rPr>
                <w:spacing w:val="-3"/>
              </w:rPr>
              <w:t xml:space="preserve"> </w:t>
            </w:r>
            <w:r>
              <w:t>the</w:t>
            </w:r>
            <w:r>
              <w:rPr>
                <w:spacing w:val="-4"/>
              </w:rPr>
              <w:t xml:space="preserve"> </w:t>
            </w:r>
            <w:r>
              <w:t>protection</w:t>
            </w:r>
            <w:r>
              <w:rPr>
                <w:spacing w:val="-5"/>
              </w:rPr>
              <w:t xml:space="preserve"> </w:t>
            </w:r>
            <w:r>
              <w:t xml:space="preserve">of </w:t>
            </w:r>
            <w:r>
              <w:rPr>
                <w:spacing w:val="-2"/>
              </w:rPr>
              <w:t>MNES,</w:t>
            </w:r>
          </w:p>
        </w:tc>
      </w:tr>
      <w:tr w:rsidR="00483D15" w14:paraId="72FF26E5" w14:textId="77777777">
        <w:trPr>
          <w:trHeight w:val="1851"/>
        </w:trPr>
        <w:tc>
          <w:tcPr>
            <w:tcW w:w="847" w:type="dxa"/>
          </w:tcPr>
          <w:p w14:paraId="69B0C801" w14:textId="77777777" w:rsidR="00483D15" w:rsidRDefault="00000000">
            <w:pPr>
              <w:pStyle w:val="TableParagraph"/>
              <w:ind w:left="107"/>
            </w:pPr>
            <w:r>
              <w:t>KPI</w:t>
            </w:r>
            <w:r>
              <w:rPr>
                <w:spacing w:val="-5"/>
              </w:rPr>
              <w:t xml:space="preserve"> </w:t>
            </w:r>
            <w:r>
              <w:rPr>
                <w:spacing w:val="-10"/>
              </w:rPr>
              <w:t>4</w:t>
            </w:r>
          </w:p>
        </w:tc>
        <w:tc>
          <w:tcPr>
            <w:tcW w:w="8169" w:type="dxa"/>
          </w:tcPr>
          <w:p w14:paraId="3DF5B517" w14:textId="77777777" w:rsidR="00483D15" w:rsidRDefault="00000000">
            <w:pPr>
              <w:pStyle w:val="TableParagraph"/>
              <w:spacing w:line="360" w:lineRule="auto"/>
              <w:ind w:left="107" w:right="137"/>
            </w:pPr>
            <w:r>
              <w:t>The proportion of reviewed projects involving offsets where NSW provided the Commonwealth</w:t>
            </w:r>
            <w:r>
              <w:rPr>
                <w:spacing w:val="-5"/>
              </w:rPr>
              <w:t xml:space="preserve"> </w:t>
            </w:r>
            <w:r>
              <w:t>with</w:t>
            </w:r>
            <w:r>
              <w:rPr>
                <w:spacing w:val="-4"/>
              </w:rPr>
              <w:t xml:space="preserve"> </w:t>
            </w:r>
            <w:r>
              <w:t>information</w:t>
            </w:r>
            <w:r>
              <w:rPr>
                <w:spacing w:val="-5"/>
              </w:rPr>
              <w:t xml:space="preserve"> </w:t>
            </w:r>
            <w:r>
              <w:t>regarding</w:t>
            </w:r>
            <w:r>
              <w:rPr>
                <w:spacing w:val="-4"/>
              </w:rPr>
              <w:t xml:space="preserve"> </w:t>
            </w:r>
            <w:r>
              <w:t>the</w:t>
            </w:r>
            <w:r>
              <w:rPr>
                <w:spacing w:val="-4"/>
              </w:rPr>
              <w:t xml:space="preserve"> </w:t>
            </w:r>
            <w:r>
              <w:t>methodology</w:t>
            </w:r>
            <w:r>
              <w:rPr>
                <w:spacing w:val="-5"/>
              </w:rPr>
              <w:t xml:space="preserve"> </w:t>
            </w:r>
            <w:r>
              <w:t>used</w:t>
            </w:r>
            <w:r>
              <w:rPr>
                <w:spacing w:val="-5"/>
              </w:rPr>
              <w:t xml:space="preserve"> </w:t>
            </w:r>
            <w:r>
              <w:t>to</w:t>
            </w:r>
            <w:r>
              <w:rPr>
                <w:spacing w:val="-3"/>
              </w:rPr>
              <w:t xml:space="preserve"> </w:t>
            </w:r>
            <w:r>
              <w:t>derive</w:t>
            </w:r>
            <w:r>
              <w:rPr>
                <w:spacing w:val="-4"/>
              </w:rPr>
              <w:t xml:space="preserve"> </w:t>
            </w:r>
            <w:r>
              <w:t>the</w:t>
            </w:r>
            <w:r>
              <w:rPr>
                <w:spacing w:val="-5"/>
              </w:rPr>
              <w:t xml:space="preserve"> </w:t>
            </w:r>
            <w:r>
              <w:t>offset, the nature of the offset, and, if relevant, its location.</w:t>
            </w:r>
          </w:p>
          <w:p w14:paraId="16310E52" w14:textId="77777777" w:rsidR="00483D15" w:rsidRDefault="00000000">
            <w:pPr>
              <w:pStyle w:val="TableParagraph"/>
              <w:spacing w:before="120"/>
              <w:ind w:left="107"/>
            </w:pPr>
            <w:r>
              <w:t>This</w:t>
            </w:r>
            <w:r>
              <w:rPr>
                <w:spacing w:val="-9"/>
              </w:rPr>
              <w:t xml:space="preserve"> </w:t>
            </w:r>
            <w:r>
              <w:t>includes</w:t>
            </w:r>
            <w:r>
              <w:rPr>
                <w:spacing w:val="-6"/>
              </w:rPr>
              <w:t xml:space="preserve"> </w:t>
            </w:r>
            <w:r>
              <w:t>demonstrating</w:t>
            </w:r>
            <w:r>
              <w:rPr>
                <w:spacing w:val="-9"/>
              </w:rPr>
              <w:t xml:space="preserve"> </w:t>
            </w:r>
            <w:r>
              <w:t>that</w:t>
            </w:r>
            <w:r>
              <w:rPr>
                <w:spacing w:val="-6"/>
              </w:rPr>
              <w:t xml:space="preserve"> </w:t>
            </w:r>
            <w:r>
              <w:t>the</w:t>
            </w:r>
            <w:r>
              <w:rPr>
                <w:spacing w:val="-8"/>
              </w:rPr>
              <w:t xml:space="preserve"> </w:t>
            </w:r>
            <w:r>
              <w:t>offsets</w:t>
            </w:r>
            <w:r>
              <w:rPr>
                <w:spacing w:val="-8"/>
              </w:rPr>
              <w:t xml:space="preserve"> </w:t>
            </w:r>
            <w:r>
              <w:t>applied</w:t>
            </w:r>
            <w:r>
              <w:rPr>
                <w:spacing w:val="-7"/>
              </w:rPr>
              <w:t xml:space="preserve"> </w:t>
            </w:r>
            <w:r>
              <w:t>were</w:t>
            </w:r>
            <w:r>
              <w:rPr>
                <w:spacing w:val="-9"/>
              </w:rPr>
              <w:t xml:space="preserve"> </w:t>
            </w:r>
            <w:r>
              <w:rPr>
                <w:spacing w:val="-2"/>
              </w:rPr>
              <w:t>derived:</w:t>
            </w:r>
          </w:p>
        </w:tc>
      </w:tr>
    </w:tbl>
    <w:p w14:paraId="4184077E" w14:textId="77777777" w:rsidR="00483D15" w:rsidRDefault="00483D15">
      <w:pPr>
        <w:pStyle w:val="TableParagraph"/>
        <w:sectPr w:rsidR="00483D15">
          <w:pgSz w:w="11910" w:h="16840"/>
          <w:pgMar w:top="1920" w:right="566" w:bottom="1200" w:left="992" w:header="0" w:footer="1000" w:gutter="0"/>
          <w:cols w:space="720"/>
        </w:sectPr>
      </w:pPr>
    </w:p>
    <w:tbl>
      <w:tblPr>
        <w:tblW w:w="0" w:type="auto"/>
        <w:tblInd w:w="3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847"/>
        <w:gridCol w:w="8169"/>
      </w:tblGrid>
      <w:tr w:rsidR="00483D15" w14:paraId="3FEF011C" w14:textId="77777777">
        <w:trPr>
          <w:trHeight w:val="3702"/>
        </w:trPr>
        <w:tc>
          <w:tcPr>
            <w:tcW w:w="847" w:type="dxa"/>
          </w:tcPr>
          <w:p w14:paraId="0120409F" w14:textId="77777777" w:rsidR="00483D15" w:rsidRDefault="00483D15">
            <w:pPr>
              <w:pStyle w:val="TableParagraph"/>
              <w:ind w:left="0"/>
              <w:rPr>
                <w:rFonts w:ascii="Times New Roman"/>
                <w:sz w:val="20"/>
              </w:rPr>
            </w:pPr>
          </w:p>
        </w:tc>
        <w:tc>
          <w:tcPr>
            <w:tcW w:w="8169" w:type="dxa"/>
          </w:tcPr>
          <w:p w14:paraId="4D5BD10D" w14:textId="77777777" w:rsidR="00483D15" w:rsidRDefault="00000000">
            <w:pPr>
              <w:pStyle w:val="TableParagraph"/>
              <w:numPr>
                <w:ilvl w:val="0"/>
                <w:numId w:val="27"/>
              </w:numPr>
              <w:tabs>
                <w:tab w:val="left" w:pos="827"/>
              </w:tabs>
              <w:spacing w:line="360" w:lineRule="auto"/>
              <w:ind w:left="107" w:right="171" w:firstLine="0"/>
            </w:pPr>
            <w:r>
              <w:t>under</w:t>
            </w:r>
            <w:r>
              <w:rPr>
                <w:spacing w:val="-3"/>
              </w:rPr>
              <w:t xml:space="preserve"> </w:t>
            </w:r>
            <w:r>
              <w:t>the</w:t>
            </w:r>
            <w:r>
              <w:rPr>
                <w:spacing w:val="-3"/>
              </w:rPr>
              <w:t xml:space="preserve"> </w:t>
            </w:r>
            <w:r>
              <w:t>draft</w:t>
            </w:r>
            <w:r>
              <w:rPr>
                <w:spacing w:val="-4"/>
              </w:rPr>
              <w:t xml:space="preserve"> </w:t>
            </w:r>
            <w:r>
              <w:t>NSW</w:t>
            </w:r>
            <w:r>
              <w:rPr>
                <w:spacing w:val="-3"/>
              </w:rPr>
              <w:t xml:space="preserve"> </w:t>
            </w:r>
            <w:r>
              <w:t>Biodiversity</w:t>
            </w:r>
            <w:r>
              <w:rPr>
                <w:spacing w:val="-4"/>
              </w:rPr>
              <w:t xml:space="preserve"> </w:t>
            </w:r>
            <w:r>
              <w:t>Offsets</w:t>
            </w:r>
            <w:r>
              <w:rPr>
                <w:spacing w:val="-4"/>
              </w:rPr>
              <w:t xml:space="preserve"> </w:t>
            </w:r>
            <w:r>
              <w:t>Policy</w:t>
            </w:r>
            <w:r>
              <w:rPr>
                <w:spacing w:val="-4"/>
              </w:rPr>
              <w:t xml:space="preserve"> </w:t>
            </w:r>
            <w:r>
              <w:t>for</w:t>
            </w:r>
            <w:r>
              <w:rPr>
                <w:spacing w:val="-3"/>
              </w:rPr>
              <w:t xml:space="preserve"> </w:t>
            </w:r>
            <w:r>
              <w:t>Major</w:t>
            </w:r>
            <w:r>
              <w:rPr>
                <w:spacing w:val="-4"/>
              </w:rPr>
              <w:t xml:space="preserve"> </w:t>
            </w:r>
            <w:r>
              <w:t>Projects</w:t>
            </w:r>
            <w:r>
              <w:rPr>
                <w:spacing w:val="-4"/>
              </w:rPr>
              <w:t xml:space="preserve"> </w:t>
            </w:r>
            <w:r>
              <w:t>(including</w:t>
            </w:r>
            <w:r>
              <w:rPr>
                <w:spacing w:val="-3"/>
              </w:rPr>
              <w:t xml:space="preserve"> </w:t>
            </w:r>
            <w:r>
              <w:t>the Framework for Biodiversity Assessment);</w:t>
            </w:r>
          </w:p>
          <w:p w14:paraId="566FCFE4" w14:textId="77777777" w:rsidR="00483D15" w:rsidRDefault="00000000">
            <w:pPr>
              <w:pStyle w:val="TableParagraph"/>
              <w:numPr>
                <w:ilvl w:val="0"/>
                <w:numId w:val="27"/>
              </w:numPr>
              <w:tabs>
                <w:tab w:val="left" w:pos="827"/>
              </w:tabs>
              <w:spacing w:before="121" w:line="360" w:lineRule="auto"/>
              <w:ind w:left="107" w:right="291" w:firstLine="0"/>
            </w:pPr>
            <w:r>
              <w:t>in</w:t>
            </w:r>
            <w:r>
              <w:rPr>
                <w:spacing w:val="-4"/>
              </w:rPr>
              <w:t xml:space="preserve"> </w:t>
            </w:r>
            <w:r>
              <w:t>accordance</w:t>
            </w:r>
            <w:r>
              <w:rPr>
                <w:spacing w:val="-4"/>
              </w:rPr>
              <w:t xml:space="preserve"> </w:t>
            </w:r>
            <w:r>
              <w:t>with</w:t>
            </w:r>
            <w:r>
              <w:rPr>
                <w:spacing w:val="-4"/>
              </w:rPr>
              <w:t xml:space="preserve"> </w:t>
            </w:r>
            <w:r>
              <w:t>the</w:t>
            </w:r>
            <w:r>
              <w:rPr>
                <w:spacing w:val="-4"/>
              </w:rPr>
              <w:t xml:space="preserve"> </w:t>
            </w:r>
            <w:r>
              <w:t>rules</w:t>
            </w:r>
            <w:r>
              <w:rPr>
                <w:spacing w:val="-4"/>
              </w:rPr>
              <w:t xml:space="preserve"> </w:t>
            </w:r>
            <w:r>
              <w:t>established</w:t>
            </w:r>
            <w:r>
              <w:rPr>
                <w:spacing w:val="-4"/>
              </w:rPr>
              <w:t xml:space="preserve"> </w:t>
            </w:r>
            <w:r>
              <w:t>under</w:t>
            </w:r>
            <w:r>
              <w:rPr>
                <w:spacing w:val="-4"/>
              </w:rPr>
              <w:t xml:space="preserve"> </w:t>
            </w:r>
            <w:r>
              <w:t>section</w:t>
            </w:r>
            <w:r>
              <w:rPr>
                <w:spacing w:val="-4"/>
              </w:rPr>
              <w:t xml:space="preserve"> </w:t>
            </w:r>
            <w:r>
              <w:t>127B</w:t>
            </w:r>
            <w:r>
              <w:rPr>
                <w:spacing w:val="-3"/>
              </w:rPr>
              <w:t xml:space="preserve"> </w:t>
            </w:r>
            <w:r>
              <w:t>of</w:t>
            </w:r>
            <w:r>
              <w:rPr>
                <w:spacing w:val="-4"/>
              </w:rPr>
              <w:t xml:space="preserve"> </w:t>
            </w:r>
            <w:r>
              <w:t>the</w:t>
            </w:r>
            <w:r>
              <w:rPr>
                <w:spacing w:val="-4"/>
              </w:rPr>
              <w:t xml:space="preserve"> </w:t>
            </w:r>
            <w:r>
              <w:t>Threatened Species Conservation Act 1995;</w:t>
            </w:r>
          </w:p>
          <w:p w14:paraId="1A873FE9" w14:textId="77777777" w:rsidR="00483D15" w:rsidRDefault="00000000">
            <w:pPr>
              <w:pStyle w:val="TableParagraph"/>
              <w:numPr>
                <w:ilvl w:val="0"/>
                <w:numId w:val="27"/>
              </w:numPr>
              <w:tabs>
                <w:tab w:val="left" w:pos="877"/>
              </w:tabs>
              <w:spacing w:before="120" w:line="360" w:lineRule="auto"/>
              <w:ind w:left="107" w:right="466" w:firstLine="0"/>
            </w:pPr>
            <w:r>
              <w:t>under</w:t>
            </w:r>
            <w:r>
              <w:rPr>
                <w:spacing w:val="-4"/>
              </w:rPr>
              <w:t xml:space="preserve"> </w:t>
            </w:r>
            <w:r>
              <w:t>the</w:t>
            </w:r>
            <w:r>
              <w:rPr>
                <w:spacing w:val="-3"/>
              </w:rPr>
              <w:t xml:space="preserve"> </w:t>
            </w:r>
            <w:r>
              <w:t>Fisheries</w:t>
            </w:r>
            <w:r>
              <w:rPr>
                <w:spacing w:val="-4"/>
              </w:rPr>
              <w:t xml:space="preserve"> </w:t>
            </w:r>
            <w:r>
              <w:t>NSW</w:t>
            </w:r>
            <w:r>
              <w:rPr>
                <w:spacing w:val="-4"/>
              </w:rPr>
              <w:t xml:space="preserve"> </w:t>
            </w:r>
            <w:r>
              <w:t>Policy</w:t>
            </w:r>
            <w:r>
              <w:rPr>
                <w:spacing w:val="-4"/>
              </w:rPr>
              <w:t xml:space="preserve"> </w:t>
            </w:r>
            <w:r>
              <w:t>and</w:t>
            </w:r>
            <w:r>
              <w:rPr>
                <w:spacing w:val="-3"/>
              </w:rPr>
              <w:t xml:space="preserve"> </w:t>
            </w:r>
            <w:r>
              <w:t>Guidelines</w:t>
            </w:r>
            <w:r>
              <w:rPr>
                <w:spacing w:val="-4"/>
              </w:rPr>
              <w:t xml:space="preserve"> </w:t>
            </w:r>
            <w:r>
              <w:t>for</w:t>
            </w:r>
            <w:r>
              <w:rPr>
                <w:spacing w:val="-3"/>
              </w:rPr>
              <w:t xml:space="preserve"> </w:t>
            </w:r>
            <w:r>
              <w:t>Fish</w:t>
            </w:r>
            <w:r>
              <w:rPr>
                <w:spacing w:val="-4"/>
              </w:rPr>
              <w:t xml:space="preserve"> </w:t>
            </w:r>
            <w:r>
              <w:t>Habitat</w:t>
            </w:r>
            <w:r>
              <w:rPr>
                <w:spacing w:val="-4"/>
              </w:rPr>
              <w:t xml:space="preserve"> </w:t>
            </w:r>
            <w:r>
              <w:t>Conservation and Management (2013 update); or</w:t>
            </w:r>
          </w:p>
          <w:p w14:paraId="51AB9E91" w14:textId="77777777" w:rsidR="00483D15" w:rsidRDefault="00000000">
            <w:pPr>
              <w:pStyle w:val="TableParagraph"/>
              <w:numPr>
                <w:ilvl w:val="0"/>
                <w:numId w:val="27"/>
              </w:numPr>
              <w:tabs>
                <w:tab w:val="left" w:pos="827"/>
              </w:tabs>
              <w:spacing w:before="119" w:line="360" w:lineRule="auto"/>
              <w:ind w:left="107" w:right="1173" w:firstLine="0"/>
            </w:pPr>
            <w:r>
              <w:t>under</w:t>
            </w:r>
            <w:r>
              <w:rPr>
                <w:spacing w:val="-4"/>
              </w:rPr>
              <w:t xml:space="preserve"> </w:t>
            </w:r>
            <w:r>
              <w:t>the</w:t>
            </w:r>
            <w:r>
              <w:rPr>
                <w:spacing w:val="-4"/>
              </w:rPr>
              <w:t xml:space="preserve"> </w:t>
            </w:r>
            <w:r>
              <w:t>Biodiversity</w:t>
            </w:r>
            <w:r>
              <w:rPr>
                <w:spacing w:val="-5"/>
              </w:rPr>
              <w:t xml:space="preserve"> </w:t>
            </w:r>
            <w:r>
              <w:t>Offset</w:t>
            </w:r>
            <w:r>
              <w:rPr>
                <w:spacing w:val="-5"/>
              </w:rPr>
              <w:t xml:space="preserve"> </w:t>
            </w:r>
            <w:r>
              <w:t>Scheme</w:t>
            </w:r>
            <w:r>
              <w:rPr>
                <w:spacing w:val="-5"/>
              </w:rPr>
              <w:t xml:space="preserve"> </w:t>
            </w:r>
            <w:r>
              <w:t>set</w:t>
            </w:r>
            <w:r>
              <w:rPr>
                <w:spacing w:val="-5"/>
              </w:rPr>
              <w:t xml:space="preserve"> </w:t>
            </w:r>
            <w:r>
              <w:t>out</w:t>
            </w:r>
            <w:r>
              <w:rPr>
                <w:spacing w:val="-4"/>
              </w:rPr>
              <w:t xml:space="preserve"> </w:t>
            </w:r>
            <w:r>
              <w:t>in</w:t>
            </w:r>
            <w:r>
              <w:rPr>
                <w:spacing w:val="-4"/>
              </w:rPr>
              <w:t xml:space="preserve"> </w:t>
            </w:r>
            <w:r>
              <w:t>the</w:t>
            </w:r>
            <w:r>
              <w:rPr>
                <w:spacing w:val="-4"/>
              </w:rPr>
              <w:t xml:space="preserve"> </w:t>
            </w:r>
            <w:r>
              <w:t>NSW</w:t>
            </w:r>
            <w:r>
              <w:rPr>
                <w:spacing w:val="-5"/>
              </w:rPr>
              <w:t xml:space="preserve"> </w:t>
            </w:r>
            <w:r>
              <w:t>Biodiversity Conservation Act 2016 and Biodiversity Conservation Regulations 2017.</w:t>
            </w:r>
          </w:p>
        </w:tc>
      </w:tr>
      <w:tr w:rsidR="00483D15" w14:paraId="1696D206" w14:textId="77777777">
        <w:trPr>
          <w:trHeight w:val="1327"/>
        </w:trPr>
        <w:tc>
          <w:tcPr>
            <w:tcW w:w="847" w:type="dxa"/>
          </w:tcPr>
          <w:p w14:paraId="4F0A603E" w14:textId="77777777" w:rsidR="00483D15" w:rsidRDefault="00000000">
            <w:pPr>
              <w:pStyle w:val="TableParagraph"/>
              <w:ind w:left="107"/>
            </w:pPr>
            <w:r>
              <w:t>KPI</w:t>
            </w:r>
            <w:r>
              <w:rPr>
                <w:spacing w:val="-5"/>
              </w:rPr>
              <w:t xml:space="preserve"> </w:t>
            </w:r>
            <w:r>
              <w:rPr>
                <w:spacing w:val="-10"/>
              </w:rPr>
              <w:t>5</w:t>
            </w:r>
          </w:p>
        </w:tc>
        <w:tc>
          <w:tcPr>
            <w:tcW w:w="8169" w:type="dxa"/>
          </w:tcPr>
          <w:p w14:paraId="5C1B18E4" w14:textId="77777777" w:rsidR="00483D15" w:rsidRDefault="00000000">
            <w:pPr>
              <w:pStyle w:val="TableParagraph"/>
              <w:spacing w:line="360" w:lineRule="auto"/>
              <w:ind w:left="107" w:right="304"/>
              <w:jc w:val="both"/>
            </w:pPr>
            <w:r>
              <w:t>The</w:t>
            </w:r>
            <w:r>
              <w:rPr>
                <w:spacing w:val="-3"/>
              </w:rPr>
              <w:t xml:space="preserve"> </w:t>
            </w:r>
            <w:r>
              <w:t>proportion</w:t>
            </w:r>
            <w:r>
              <w:rPr>
                <w:spacing w:val="-4"/>
              </w:rPr>
              <w:t xml:space="preserve"> </w:t>
            </w:r>
            <w:r>
              <w:t>of</w:t>
            </w:r>
            <w:r>
              <w:rPr>
                <w:spacing w:val="-4"/>
              </w:rPr>
              <w:t xml:space="preserve"> </w:t>
            </w:r>
            <w:r>
              <w:t>reviewed</w:t>
            </w:r>
            <w:r>
              <w:rPr>
                <w:spacing w:val="-4"/>
              </w:rPr>
              <w:t xml:space="preserve"> </w:t>
            </w:r>
            <w:r>
              <w:t>projects</w:t>
            </w:r>
            <w:r>
              <w:rPr>
                <w:spacing w:val="-4"/>
              </w:rPr>
              <w:t xml:space="preserve"> </w:t>
            </w:r>
            <w:r>
              <w:t>involving</w:t>
            </w:r>
            <w:r>
              <w:rPr>
                <w:spacing w:val="-4"/>
              </w:rPr>
              <w:t xml:space="preserve"> </w:t>
            </w:r>
            <w:r>
              <w:t>offsets</w:t>
            </w:r>
            <w:r>
              <w:rPr>
                <w:spacing w:val="-4"/>
              </w:rPr>
              <w:t xml:space="preserve"> </w:t>
            </w:r>
            <w:r>
              <w:t>where</w:t>
            </w:r>
            <w:r>
              <w:rPr>
                <w:spacing w:val="-3"/>
              </w:rPr>
              <w:t xml:space="preserve"> </w:t>
            </w:r>
            <w:r>
              <w:t>the</w:t>
            </w:r>
            <w:r>
              <w:rPr>
                <w:spacing w:val="-4"/>
              </w:rPr>
              <w:t xml:space="preserve"> </w:t>
            </w:r>
            <w:r>
              <w:t>offset</w:t>
            </w:r>
            <w:r>
              <w:rPr>
                <w:spacing w:val="-4"/>
              </w:rPr>
              <w:t xml:space="preserve"> </w:t>
            </w:r>
            <w:r>
              <w:t>proposed</w:t>
            </w:r>
            <w:r>
              <w:rPr>
                <w:spacing w:val="-4"/>
              </w:rPr>
              <w:t xml:space="preserve"> </w:t>
            </w:r>
            <w:r>
              <w:t>in</w:t>
            </w:r>
            <w:r>
              <w:rPr>
                <w:spacing w:val="-3"/>
              </w:rPr>
              <w:t xml:space="preserve"> </w:t>
            </w:r>
            <w:r>
              <w:t>the Assessment Report was consistent with the principles listed on page 6 of the EPBC Act Environmental Offsets Policy.</w:t>
            </w:r>
          </w:p>
        </w:tc>
      </w:tr>
      <w:tr w:rsidR="00483D15" w14:paraId="3B6ACCBB" w14:textId="77777777">
        <w:trPr>
          <w:trHeight w:val="522"/>
        </w:trPr>
        <w:tc>
          <w:tcPr>
            <w:tcW w:w="847" w:type="dxa"/>
          </w:tcPr>
          <w:p w14:paraId="3303F8F0" w14:textId="77777777" w:rsidR="00483D15" w:rsidRDefault="00000000">
            <w:pPr>
              <w:pStyle w:val="TableParagraph"/>
              <w:spacing w:before="1"/>
              <w:ind w:left="107"/>
            </w:pPr>
            <w:r>
              <w:t>KPI</w:t>
            </w:r>
            <w:r>
              <w:rPr>
                <w:spacing w:val="-5"/>
              </w:rPr>
              <w:t xml:space="preserve"> </w:t>
            </w:r>
            <w:r>
              <w:rPr>
                <w:spacing w:val="-10"/>
              </w:rPr>
              <w:t>6</w:t>
            </w:r>
          </w:p>
        </w:tc>
        <w:tc>
          <w:tcPr>
            <w:tcW w:w="8169" w:type="dxa"/>
          </w:tcPr>
          <w:p w14:paraId="3A71D0FA" w14:textId="77777777" w:rsidR="00483D15" w:rsidRDefault="00000000">
            <w:pPr>
              <w:pStyle w:val="TableParagraph"/>
              <w:spacing w:before="1"/>
              <w:ind w:left="107"/>
            </w:pPr>
            <w:proofErr w:type="gramStart"/>
            <w:r>
              <w:t>Number</w:t>
            </w:r>
            <w:r>
              <w:rPr>
                <w:spacing w:val="-8"/>
              </w:rPr>
              <w:t xml:space="preserve"> </w:t>
            </w:r>
            <w:r>
              <w:t>of</w:t>
            </w:r>
            <w:r>
              <w:rPr>
                <w:spacing w:val="-7"/>
              </w:rPr>
              <w:t xml:space="preserve"> </w:t>
            </w:r>
            <w:r>
              <w:t>times</w:t>
            </w:r>
            <w:r>
              <w:rPr>
                <w:spacing w:val="-8"/>
              </w:rPr>
              <w:t xml:space="preserve"> </w:t>
            </w:r>
            <w:r>
              <w:t>the</w:t>
            </w:r>
            <w:proofErr w:type="gramEnd"/>
            <w:r>
              <w:rPr>
                <w:spacing w:val="-7"/>
              </w:rPr>
              <w:t xml:space="preserve"> </w:t>
            </w:r>
            <w:r>
              <w:t>escalation</w:t>
            </w:r>
            <w:r>
              <w:rPr>
                <w:spacing w:val="-8"/>
              </w:rPr>
              <w:t xml:space="preserve"> </w:t>
            </w:r>
            <w:r>
              <w:t>process</w:t>
            </w:r>
            <w:r>
              <w:rPr>
                <w:spacing w:val="-6"/>
              </w:rPr>
              <w:t xml:space="preserve"> </w:t>
            </w:r>
            <w:r>
              <w:t>was</w:t>
            </w:r>
            <w:r>
              <w:rPr>
                <w:spacing w:val="-7"/>
              </w:rPr>
              <w:t xml:space="preserve"> </w:t>
            </w:r>
            <w:r>
              <w:rPr>
                <w:spacing w:val="-2"/>
              </w:rPr>
              <w:t>triggered.</w:t>
            </w:r>
          </w:p>
        </w:tc>
      </w:tr>
      <w:tr w:rsidR="00483D15" w14:paraId="3DE68859" w14:textId="77777777">
        <w:trPr>
          <w:trHeight w:val="3203"/>
        </w:trPr>
        <w:tc>
          <w:tcPr>
            <w:tcW w:w="847" w:type="dxa"/>
          </w:tcPr>
          <w:p w14:paraId="0B3CE778" w14:textId="77777777" w:rsidR="00483D15" w:rsidRDefault="00000000">
            <w:pPr>
              <w:pStyle w:val="TableParagraph"/>
              <w:spacing w:before="1"/>
              <w:ind w:left="107"/>
            </w:pPr>
            <w:r>
              <w:t>KPI</w:t>
            </w:r>
            <w:r>
              <w:rPr>
                <w:spacing w:val="-5"/>
              </w:rPr>
              <w:t xml:space="preserve"> </w:t>
            </w:r>
            <w:r>
              <w:rPr>
                <w:spacing w:val="-10"/>
              </w:rPr>
              <w:t>7</w:t>
            </w:r>
          </w:p>
        </w:tc>
        <w:tc>
          <w:tcPr>
            <w:tcW w:w="8169" w:type="dxa"/>
          </w:tcPr>
          <w:p w14:paraId="3A88AFA6" w14:textId="77777777" w:rsidR="00483D15" w:rsidRDefault="00000000">
            <w:pPr>
              <w:pStyle w:val="TableParagraph"/>
              <w:spacing w:before="1" w:line="360" w:lineRule="auto"/>
              <w:ind w:left="107" w:right="137"/>
            </w:pPr>
            <w:r>
              <w:t>The</w:t>
            </w:r>
            <w:r>
              <w:rPr>
                <w:spacing w:val="-3"/>
              </w:rPr>
              <w:t xml:space="preserve"> </w:t>
            </w:r>
            <w:r>
              <w:t>proportion</w:t>
            </w:r>
            <w:r>
              <w:rPr>
                <w:spacing w:val="-4"/>
              </w:rPr>
              <w:t xml:space="preserve"> </w:t>
            </w:r>
            <w:r>
              <w:t>of</w:t>
            </w:r>
            <w:r>
              <w:rPr>
                <w:spacing w:val="-4"/>
              </w:rPr>
              <w:t xml:space="preserve"> </w:t>
            </w:r>
            <w:r>
              <w:t>reviewed</w:t>
            </w:r>
            <w:r>
              <w:rPr>
                <w:spacing w:val="-4"/>
              </w:rPr>
              <w:t xml:space="preserve"> </w:t>
            </w:r>
            <w:r>
              <w:t>projects</w:t>
            </w:r>
            <w:r>
              <w:rPr>
                <w:spacing w:val="-4"/>
              </w:rPr>
              <w:t xml:space="preserve"> </w:t>
            </w:r>
            <w:r>
              <w:t>for</w:t>
            </w:r>
            <w:r>
              <w:rPr>
                <w:spacing w:val="-4"/>
              </w:rPr>
              <w:t xml:space="preserve"> </w:t>
            </w:r>
            <w:r>
              <w:t>which</w:t>
            </w:r>
            <w:r>
              <w:rPr>
                <w:spacing w:val="-4"/>
              </w:rPr>
              <w:t xml:space="preserve"> </w:t>
            </w:r>
            <w:r>
              <w:t>offsets</w:t>
            </w:r>
            <w:r>
              <w:rPr>
                <w:spacing w:val="-4"/>
              </w:rPr>
              <w:t xml:space="preserve"> </w:t>
            </w:r>
            <w:r>
              <w:t>relating</w:t>
            </w:r>
            <w:r>
              <w:rPr>
                <w:spacing w:val="-3"/>
              </w:rPr>
              <w:t xml:space="preserve"> </w:t>
            </w:r>
            <w:r>
              <w:t>to</w:t>
            </w:r>
            <w:r>
              <w:rPr>
                <w:spacing w:val="-2"/>
              </w:rPr>
              <w:t xml:space="preserve"> </w:t>
            </w:r>
            <w:r>
              <w:t>MNES</w:t>
            </w:r>
            <w:r>
              <w:rPr>
                <w:spacing w:val="-4"/>
              </w:rPr>
              <w:t xml:space="preserve"> </w:t>
            </w:r>
            <w:r>
              <w:t>were</w:t>
            </w:r>
            <w:r>
              <w:rPr>
                <w:spacing w:val="-4"/>
              </w:rPr>
              <w:t xml:space="preserve"> </w:t>
            </w:r>
            <w:r>
              <w:t xml:space="preserve">required </w:t>
            </w:r>
            <w:r>
              <w:rPr>
                <w:spacing w:val="-2"/>
              </w:rPr>
              <w:t>that:</w:t>
            </w:r>
          </w:p>
          <w:p w14:paraId="28C750F7" w14:textId="77777777" w:rsidR="00483D15" w:rsidRDefault="00000000">
            <w:pPr>
              <w:pStyle w:val="TableParagraph"/>
              <w:numPr>
                <w:ilvl w:val="0"/>
                <w:numId w:val="26"/>
              </w:numPr>
              <w:tabs>
                <w:tab w:val="left" w:pos="827"/>
              </w:tabs>
              <w:spacing w:before="119" w:line="355" w:lineRule="auto"/>
              <w:ind w:right="673"/>
            </w:pPr>
            <w:r>
              <w:t>had</w:t>
            </w:r>
            <w:r>
              <w:rPr>
                <w:spacing w:val="-5"/>
              </w:rPr>
              <w:t xml:space="preserve"> </w:t>
            </w:r>
            <w:r>
              <w:t>secured</w:t>
            </w:r>
            <w:r>
              <w:rPr>
                <w:spacing w:val="-4"/>
              </w:rPr>
              <w:t xml:space="preserve"> </w:t>
            </w:r>
            <w:r>
              <w:t>the</w:t>
            </w:r>
            <w:r>
              <w:rPr>
                <w:spacing w:val="-5"/>
              </w:rPr>
              <w:t xml:space="preserve"> </w:t>
            </w:r>
            <w:r>
              <w:t>required</w:t>
            </w:r>
            <w:r>
              <w:rPr>
                <w:spacing w:val="-4"/>
              </w:rPr>
              <w:t xml:space="preserve"> </w:t>
            </w:r>
            <w:r>
              <w:t>offset(s)</w:t>
            </w:r>
            <w:r>
              <w:rPr>
                <w:spacing w:val="-4"/>
              </w:rPr>
              <w:t xml:space="preserve"> </w:t>
            </w:r>
            <w:r>
              <w:t>within</w:t>
            </w:r>
            <w:r>
              <w:rPr>
                <w:spacing w:val="-5"/>
              </w:rPr>
              <w:t xml:space="preserve"> </w:t>
            </w:r>
            <w:r>
              <w:t>the</w:t>
            </w:r>
            <w:r>
              <w:rPr>
                <w:spacing w:val="-4"/>
              </w:rPr>
              <w:t xml:space="preserve"> </w:t>
            </w:r>
            <w:r>
              <w:t>timeframe(s)</w:t>
            </w:r>
            <w:r>
              <w:rPr>
                <w:spacing w:val="-4"/>
              </w:rPr>
              <w:t xml:space="preserve"> </w:t>
            </w:r>
            <w:r>
              <w:t>required</w:t>
            </w:r>
            <w:r>
              <w:rPr>
                <w:spacing w:val="-5"/>
              </w:rPr>
              <w:t xml:space="preserve"> </w:t>
            </w:r>
            <w:r>
              <w:t>by</w:t>
            </w:r>
            <w:r>
              <w:rPr>
                <w:spacing w:val="-4"/>
              </w:rPr>
              <w:t xml:space="preserve"> </w:t>
            </w:r>
            <w:r>
              <w:t>the approval as originally issued, or</w:t>
            </w:r>
          </w:p>
          <w:p w14:paraId="0179EF86" w14:textId="77777777" w:rsidR="00483D15" w:rsidRDefault="00000000">
            <w:pPr>
              <w:pStyle w:val="TableParagraph"/>
              <w:numPr>
                <w:ilvl w:val="0"/>
                <w:numId w:val="26"/>
              </w:numPr>
              <w:tabs>
                <w:tab w:val="left" w:pos="827"/>
              </w:tabs>
              <w:spacing w:before="130" w:line="357" w:lineRule="auto"/>
              <w:ind w:right="222"/>
            </w:pPr>
            <w:r>
              <w:t xml:space="preserve">where the </w:t>
            </w:r>
            <w:proofErr w:type="gramStart"/>
            <w:r>
              <w:t>period of time</w:t>
            </w:r>
            <w:proofErr w:type="gramEnd"/>
            <w:r>
              <w:t xml:space="preserve"> between the commencement of the action and the securing</w:t>
            </w:r>
            <w:r>
              <w:rPr>
                <w:spacing w:val="-3"/>
              </w:rPr>
              <w:t xml:space="preserve"> </w:t>
            </w:r>
            <w:r>
              <w:t>of</w:t>
            </w:r>
            <w:r>
              <w:rPr>
                <w:spacing w:val="-4"/>
              </w:rPr>
              <w:t xml:space="preserve"> </w:t>
            </w:r>
            <w:r>
              <w:t>the</w:t>
            </w:r>
            <w:r>
              <w:rPr>
                <w:spacing w:val="-4"/>
              </w:rPr>
              <w:t xml:space="preserve"> </w:t>
            </w:r>
            <w:r>
              <w:t>offset(s)</w:t>
            </w:r>
            <w:r>
              <w:rPr>
                <w:spacing w:val="-3"/>
              </w:rPr>
              <w:t xml:space="preserve"> </w:t>
            </w:r>
            <w:r>
              <w:t>had</w:t>
            </w:r>
            <w:r>
              <w:rPr>
                <w:spacing w:val="-4"/>
              </w:rPr>
              <w:t xml:space="preserve"> </w:t>
            </w:r>
            <w:r>
              <w:t>not</w:t>
            </w:r>
            <w:r>
              <w:rPr>
                <w:spacing w:val="-3"/>
              </w:rPr>
              <w:t xml:space="preserve"> </w:t>
            </w:r>
            <w:r>
              <w:t>been</w:t>
            </w:r>
            <w:r>
              <w:rPr>
                <w:spacing w:val="-4"/>
              </w:rPr>
              <w:t xml:space="preserve"> </w:t>
            </w:r>
            <w:r>
              <w:t>increased</w:t>
            </w:r>
            <w:r>
              <w:rPr>
                <w:spacing w:val="-4"/>
              </w:rPr>
              <w:t xml:space="preserve"> </w:t>
            </w:r>
            <w:proofErr w:type="gramStart"/>
            <w:r>
              <w:t>subsequent</w:t>
            </w:r>
            <w:r>
              <w:rPr>
                <w:spacing w:val="-3"/>
              </w:rPr>
              <w:t xml:space="preserve"> </w:t>
            </w:r>
            <w:r>
              <w:t>to</w:t>
            </w:r>
            <w:proofErr w:type="gramEnd"/>
            <w:r>
              <w:rPr>
                <w:spacing w:val="-3"/>
              </w:rPr>
              <w:t xml:space="preserve"> </w:t>
            </w:r>
            <w:r>
              <w:t>the</w:t>
            </w:r>
            <w:r>
              <w:rPr>
                <w:spacing w:val="-3"/>
              </w:rPr>
              <w:t xml:space="preserve"> </w:t>
            </w:r>
            <w:r>
              <w:t>giving</w:t>
            </w:r>
            <w:r>
              <w:rPr>
                <w:spacing w:val="-3"/>
              </w:rPr>
              <w:t xml:space="preserve"> </w:t>
            </w:r>
            <w:r>
              <w:t>of</w:t>
            </w:r>
            <w:r>
              <w:rPr>
                <w:spacing w:val="-4"/>
              </w:rPr>
              <w:t xml:space="preserve"> </w:t>
            </w:r>
            <w:r>
              <w:t xml:space="preserve">the </w:t>
            </w:r>
            <w:r>
              <w:rPr>
                <w:spacing w:val="-2"/>
              </w:rPr>
              <w:t>approval.</w:t>
            </w:r>
          </w:p>
        </w:tc>
      </w:tr>
      <w:tr w:rsidR="00483D15" w14:paraId="3CC2ACB3" w14:textId="77777777">
        <w:trPr>
          <w:trHeight w:val="522"/>
        </w:trPr>
        <w:tc>
          <w:tcPr>
            <w:tcW w:w="847" w:type="dxa"/>
          </w:tcPr>
          <w:p w14:paraId="50099FAA" w14:textId="77777777" w:rsidR="00483D15" w:rsidRDefault="00000000">
            <w:pPr>
              <w:pStyle w:val="TableParagraph"/>
              <w:ind w:left="107"/>
            </w:pPr>
            <w:r>
              <w:t>KPI</w:t>
            </w:r>
            <w:r>
              <w:rPr>
                <w:spacing w:val="-5"/>
              </w:rPr>
              <w:t xml:space="preserve"> </w:t>
            </w:r>
            <w:r>
              <w:rPr>
                <w:spacing w:val="-10"/>
              </w:rPr>
              <w:t>8</w:t>
            </w:r>
          </w:p>
        </w:tc>
        <w:tc>
          <w:tcPr>
            <w:tcW w:w="8169" w:type="dxa"/>
          </w:tcPr>
          <w:p w14:paraId="1C3F2031" w14:textId="77777777" w:rsidR="00483D15" w:rsidRDefault="00000000">
            <w:pPr>
              <w:pStyle w:val="TableParagraph"/>
              <w:ind w:left="107"/>
            </w:pPr>
            <w:r>
              <w:t>The</w:t>
            </w:r>
            <w:r>
              <w:rPr>
                <w:spacing w:val="-6"/>
              </w:rPr>
              <w:t xml:space="preserve"> </w:t>
            </w:r>
            <w:r>
              <w:t>total</w:t>
            </w:r>
            <w:r>
              <w:rPr>
                <w:spacing w:val="-5"/>
              </w:rPr>
              <w:t xml:space="preserve"> </w:t>
            </w:r>
            <w:r>
              <w:t>area</w:t>
            </w:r>
            <w:r>
              <w:rPr>
                <w:spacing w:val="-6"/>
              </w:rPr>
              <w:t xml:space="preserve"> </w:t>
            </w:r>
            <w:r>
              <w:t>of</w:t>
            </w:r>
            <w:r>
              <w:rPr>
                <w:spacing w:val="-6"/>
              </w:rPr>
              <w:t xml:space="preserve"> </w:t>
            </w:r>
            <w:r>
              <w:t>habitat</w:t>
            </w:r>
            <w:r>
              <w:rPr>
                <w:spacing w:val="-5"/>
              </w:rPr>
              <w:t xml:space="preserve"> </w:t>
            </w:r>
            <w:r>
              <w:t>for</w:t>
            </w:r>
            <w:r>
              <w:rPr>
                <w:spacing w:val="-6"/>
              </w:rPr>
              <w:t xml:space="preserve"> </w:t>
            </w:r>
            <w:r>
              <w:t>Matters</w:t>
            </w:r>
            <w:r>
              <w:rPr>
                <w:spacing w:val="-6"/>
              </w:rPr>
              <w:t xml:space="preserve"> </w:t>
            </w:r>
            <w:r>
              <w:t>of</w:t>
            </w:r>
            <w:r>
              <w:rPr>
                <w:spacing w:val="-6"/>
              </w:rPr>
              <w:t xml:space="preserve"> </w:t>
            </w:r>
            <w:r>
              <w:t>NES</w:t>
            </w:r>
            <w:r>
              <w:rPr>
                <w:spacing w:val="-6"/>
              </w:rPr>
              <w:t xml:space="preserve"> </w:t>
            </w:r>
            <w:r>
              <w:t>that</w:t>
            </w:r>
            <w:r>
              <w:rPr>
                <w:spacing w:val="-5"/>
              </w:rPr>
              <w:t xml:space="preserve"> </w:t>
            </w:r>
            <w:r>
              <w:t>has</w:t>
            </w:r>
            <w:r>
              <w:rPr>
                <w:spacing w:val="-4"/>
              </w:rPr>
              <w:t xml:space="preserve"> </w:t>
            </w:r>
            <w:r>
              <w:t>been</w:t>
            </w:r>
            <w:r>
              <w:rPr>
                <w:spacing w:val="-6"/>
              </w:rPr>
              <w:t xml:space="preserve"> </w:t>
            </w:r>
            <w:r>
              <w:rPr>
                <w:spacing w:val="-2"/>
              </w:rPr>
              <w:t>impacted</w:t>
            </w:r>
          </w:p>
        </w:tc>
      </w:tr>
      <w:tr w:rsidR="00483D15" w14:paraId="59F8FFD7" w14:textId="77777777">
        <w:trPr>
          <w:trHeight w:val="926"/>
        </w:trPr>
        <w:tc>
          <w:tcPr>
            <w:tcW w:w="847" w:type="dxa"/>
          </w:tcPr>
          <w:p w14:paraId="13683203" w14:textId="77777777" w:rsidR="00483D15" w:rsidRDefault="00000000">
            <w:pPr>
              <w:pStyle w:val="TableParagraph"/>
              <w:ind w:left="107"/>
            </w:pPr>
            <w:r>
              <w:t>KPI</w:t>
            </w:r>
            <w:r>
              <w:rPr>
                <w:spacing w:val="-5"/>
              </w:rPr>
              <w:t xml:space="preserve"> </w:t>
            </w:r>
            <w:r>
              <w:rPr>
                <w:spacing w:val="-10"/>
              </w:rPr>
              <w:t>9</w:t>
            </w:r>
          </w:p>
        </w:tc>
        <w:tc>
          <w:tcPr>
            <w:tcW w:w="8169" w:type="dxa"/>
          </w:tcPr>
          <w:p w14:paraId="1F534E8B" w14:textId="77777777" w:rsidR="00483D15" w:rsidRDefault="00000000">
            <w:pPr>
              <w:pStyle w:val="TableParagraph"/>
              <w:spacing w:line="360" w:lineRule="auto"/>
              <w:ind w:left="107" w:right="137"/>
            </w:pPr>
            <w:r>
              <w:t>The</w:t>
            </w:r>
            <w:r>
              <w:rPr>
                <w:spacing w:val="-3"/>
              </w:rPr>
              <w:t xml:space="preserve"> </w:t>
            </w:r>
            <w:r>
              <w:t>total</w:t>
            </w:r>
            <w:r>
              <w:rPr>
                <w:spacing w:val="-4"/>
              </w:rPr>
              <w:t xml:space="preserve"> </w:t>
            </w:r>
            <w:r>
              <w:t>area</w:t>
            </w:r>
            <w:r>
              <w:rPr>
                <w:spacing w:val="-4"/>
              </w:rPr>
              <w:t xml:space="preserve"> </w:t>
            </w:r>
            <w:r>
              <w:t>of</w:t>
            </w:r>
            <w:r>
              <w:rPr>
                <w:spacing w:val="-4"/>
              </w:rPr>
              <w:t xml:space="preserve"> </w:t>
            </w:r>
            <w:proofErr w:type="gramStart"/>
            <w:r>
              <w:t>habitat</w:t>
            </w:r>
            <w:r>
              <w:rPr>
                <w:spacing w:val="-3"/>
              </w:rPr>
              <w:t xml:space="preserve"> </w:t>
            </w:r>
            <w:r>
              <w:t>that</w:t>
            </w:r>
            <w:proofErr w:type="gramEnd"/>
            <w:r>
              <w:rPr>
                <w:spacing w:val="-4"/>
              </w:rPr>
              <w:t xml:space="preserve"> </w:t>
            </w:r>
            <w:r>
              <w:t>has</w:t>
            </w:r>
            <w:r>
              <w:rPr>
                <w:spacing w:val="-2"/>
              </w:rPr>
              <w:t xml:space="preserve"> </w:t>
            </w:r>
            <w:r>
              <w:t>been</w:t>
            </w:r>
            <w:r>
              <w:rPr>
                <w:spacing w:val="-2"/>
              </w:rPr>
              <w:t xml:space="preserve"> </w:t>
            </w:r>
            <w:r>
              <w:t>secured</w:t>
            </w:r>
            <w:r>
              <w:rPr>
                <w:spacing w:val="-3"/>
              </w:rPr>
              <w:t xml:space="preserve"> </w:t>
            </w:r>
            <w:r>
              <w:t>through</w:t>
            </w:r>
            <w:r>
              <w:rPr>
                <w:spacing w:val="-4"/>
              </w:rPr>
              <w:t xml:space="preserve"> </w:t>
            </w:r>
            <w:r>
              <w:t>offsets,</w:t>
            </w:r>
            <w:r>
              <w:rPr>
                <w:spacing w:val="-4"/>
              </w:rPr>
              <w:t xml:space="preserve"> </w:t>
            </w:r>
            <w:proofErr w:type="gramStart"/>
            <w:r>
              <w:t>as</w:t>
            </w:r>
            <w:r>
              <w:rPr>
                <w:spacing w:val="-4"/>
              </w:rPr>
              <w:t xml:space="preserve"> </w:t>
            </w:r>
            <w:r>
              <w:t>a</w:t>
            </w:r>
            <w:r>
              <w:rPr>
                <w:spacing w:val="-4"/>
              </w:rPr>
              <w:t xml:space="preserve"> </w:t>
            </w:r>
            <w:r>
              <w:t>result</w:t>
            </w:r>
            <w:r>
              <w:rPr>
                <w:spacing w:val="-4"/>
              </w:rPr>
              <w:t xml:space="preserve"> </w:t>
            </w:r>
            <w:r>
              <w:t>of</w:t>
            </w:r>
            <w:proofErr w:type="gramEnd"/>
            <w:r>
              <w:t xml:space="preserve"> environmental assessment.</w:t>
            </w:r>
          </w:p>
        </w:tc>
      </w:tr>
      <w:tr w:rsidR="00483D15" w14:paraId="786CB51C" w14:textId="77777777">
        <w:trPr>
          <w:trHeight w:val="924"/>
        </w:trPr>
        <w:tc>
          <w:tcPr>
            <w:tcW w:w="847" w:type="dxa"/>
          </w:tcPr>
          <w:p w14:paraId="407BB0AD" w14:textId="77777777" w:rsidR="00483D15" w:rsidRDefault="00000000">
            <w:pPr>
              <w:pStyle w:val="TableParagraph"/>
              <w:ind w:left="107"/>
            </w:pPr>
            <w:r>
              <w:t>KPI</w:t>
            </w:r>
            <w:r>
              <w:rPr>
                <w:spacing w:val="-5"/>
              </w:rPr>
              <w:t xml:space="preserve"> 10</w:t>
            </w:r>
          </w:p>
        </w:tc>
        <w:tc>
          <w:tcPr>
            <w:tcW w:w="8169" w:type="dxa"/>
          </w:tcPr>
          <w:p w14:paraId="6435A0F5" w14:textId="77777777" w:rsidR="00483D15" w:rsidRDefault="00000000">
            <w:pPr>
              <w:pStyle w:val="TableParagraph"/>
              <w:spacing w:line="360" w:lineRule="auto"/>
              <w:ind w:left="107"/>
            </w:pPr>
            <w:r>
              <w:t>The</w:t>
            </w:r>
            <w:r>
              <w:rPr>
                <w:spacing w:val="-3"/>
              </w:rPr>
              <w:t xml:space="preserve"> </w:t>
            </w:r>
            <w:r>
              <w:t>proportion</w:t>
            </w:r>
            <w:r>
              <w:rPr>
                <w:spacing w:val="-4"/>
              </w:rPr>
              <w:t xml:space="preserve"> </w:t>
            </w:r>
            <w:r>
              <w:t>of</w:t>
            </w:r>
            <w:r>
              <w:rPr>
                <w:spacing w:val="-4"/>
              </w:rPr>
              <w:t xml:space="preserve"> </w:t>
            </w:r>
            <w:r>
              <w:t>reviewed</w:t>
            </w:r>
            <w:r>
              <w:rPr>
                <w:spacing w:val="-4"/>
              </w:rPr>
              <w:t xml:space="preserve"> </w:t>
            </w:r>
            <w:r>
              <w:t>projects</w:t>
            </w:r>
            <w:r>
              <w:rPr>
                <w:spacing w:val="-4"/>
              </w:rPr>
              <w:t xml:space="preserve"> </w:t>
            </w:r>
            <w:r>
              <w:t>involving</w:t>
            </w:r>
            <w:r>
              <w:rPr>
                <w:spacing w:val="-4"/>
              </w:rPr>
              <w:t xml:space="preserve"> </w:t>
            </w:r>
            <w:proofErr w:type="gramStart"/>
            <w:r>
              <w:t>offsets</w:t>
            </w:r>
            <w:r>
              <w:rPr>
                <w:spacing w:val="-4"/>
              </w:rPr>
              <w:t xml:space="preserve"> </w:t>
            </w:r>
            <w:r>
              <w:t>that</w:t>
            </w:r>
            <w:proofErr w:type="gramEnd"/>
            <w:r>
              <w:rPr>
                <w:spacing w:val="-3"/>
              </w:rPr>
              <w:t xml:space="preserve"> </w:t>
            </w:r>
            <w:r>
              <w:t>deviated</w:t>
            </w:r>
            <w:r>
              <w:rPr>
                <w:spacing w:val="-4"/>
              </w:rPr>
              <w:t xml:space="preserve"> </w:t>
            </w:r>
            <w:r>
              <w:t>from</w:t>
            </w:r>
            <w:r>
              <w:rPr>
                <w:spacing w:val="-4"/>
              </w:rPr>
              <w:t xml:space="preserve"> </w:t>
            </w:r>
            <w:r>
              <w:t>a</w:t>
            </w:r>
            <w:r>
              <w:rPr>
                <w:spacing w:val="-2"/>
              </w:rPr>
              <w:t xml:space="preserve"> </w:t>
            </w:r>
            <w:r>
              <w:t xml:space="preserve">habitat-based </w:t>
            </w:r>
            <w:r>
              <w:rPr>
                <w:spacing w:val="-2"/>
              </w:rPr>
              <w:t>offset.</w:t>
            </w:r>
          </w:p>
        </w:tc>
      </w:tr>
      <w:tr w:rsidR="00483D15" w14:paraId="387E2B53" w14:textId="77777777">
        <w:trPr>
          <w:trHeight w:val="1732"/>
        </w:trPr>
        <w:tc>
          <w:tcPr>
            <w:tcW w:w="847" w:type="dxa"/>
          </w:tcPr>
          <w:p w14:paraId="7D6CF8C4" w14:textId="77777777" w:rsidR="00483D15" w:rsidRDefault="00000000">
            <w:pPr>
              <w:pStyle w:val="TableParagraph"/>
              <w:spacing w:before="1"/>
              <w:ind w:left="107"/>
            </w:pPr>
            <w:r>
              <w:t>KPI</w:t>
            </w:r>
            <w:r>
              <w:rPr>
                <w:spacing w:val="-5"/>
              </w:rPr>
              <w:t xml:space="preserve"> 11</w:t>
            </w:r>
          </w:p>
        </w:tc>
        <w:tc>
          <w:tcPr>
            <w:tcW w:w="8169" w:type="dxa"/>
          </w:tcPr>
          <w:p w14:paraId="5890724F" w14:textId="77777777" w:rsidR="00483D15" w:rsidRDefault="00000000">
            <w:pPr>
              <w:pStyle w:val="TableParagraph"/>
              <w:spacing w:before="1" w:line="360" w:lineRule="auto"/>
              <w:ind w:left="107" w:right="137"/>
            </w:pPr>
            <w:r>
              <w:t>The number of projects where the Commonwealth decision-maker considered on reasonable</w:t>
            </w:r>
            <w:r>
              <w:rPr>
                <w:spacing w:val="-4"/>
              </w:rPr>
              <w:t xml:space="preserve"> </w:t>
            </w:r>
            <w:r>
              <w:t>grounds</w:t>
            </w:r>
            <w:r>
              <w:rPr>
                <w:spacing w:val="-4"/>
              </w:rPr>
              <w:t xml:space="preserve"> </w:t>
            </w:r>
            <w:r>
              <w:t>that</w:t>
            </w:r>
            <w:r>
              <w:rPr>
                <w:spacing w:val="-3"/>
              </w:rPr>
              <w:t xml:space="preserve"> </w:t>
            </w:r>
            <w:r>
              <w:t>they</w:t>
            </w:r>
            <w:r>
              <w:rPr>
                <w:spacing w:val="-4"/>
              </w:rPr>
              <w:t xml:space="preserve"> </w:t>
            </w:r>
            <w:r>
              <w:t>did</w:t>
            </w:r>
            <w:r>
              <w:rPr>
                <w:spacing w:val="-3"/>
              </w:rPr>
              <w:t xml:space="preserve"> </w:t>
            </w:r>
            <w:r>
              <w:t>not</w:t>
            </w:r>
            <w:r>
              <w:rPr>
                <w:spacing w:val="-3"/>
              </w:rPr>
              <w:t xml:space="preserve"> </w:t>
            </w:r>
            <w:r>
              <w:t>have</w:t>
            </w:r>
            <w:r>
              <w:rPr>
                <w:spacing w:val="-4"/>
              </w:rPr>
              <w:t xml:space="preserve"> </w:t>
            </w:r>
            <w:r>
              <w:t>sufficient</w:t>
            </w:r>
            <w:r>
              <w:rPr>
                <w:spacing w:val="-4"/>
              </w:rPr>
              <w:t xml:space="preserve"> </w:t>
            </w:r>
            <w:r>
              <w:t>information</w:t>
            </w:r>
            <w:r>
              <w:rPr>
                <w:spacing w:val="-4"/>
              </w:rPr>
              <w:t xml:space="preserve"> </w:t>
            </w:r>
            <w:r>
              <w:t>to</w:t>
            </w:r>
            <w:r>
              <w:rPr>
                <w:spacing w:val="-3"/>
              </w:rPr>
              <w:t xml:space="preserve"> </w:t>
            </w:r>
            <w:r>
              <w:t>make</w:t>
            </w:r>
            <w:r>
              <w:rPr>
                <w:spacing w:val="-4"/>
              </w:rPr>
              <w:t xml:space="preserve"> </w:t>
            </w:r>
            <w:r>
              <w:t>an</w:t>
            </w:r>
            <w:r>
              <w:rPr>
                <w:spacing w:val="-4"/>
              </w:rPr>
              <w:t xml:space="preserve"> </w:t>
            </w:r>
            <w:r>
              <w:t>informed decision and requested additional information under s.132 of the EPBC Act prior to making an approval decision.</w:t>
            </w:r>
          </w:p>
        </w:tc>
      </w:tr>
    </w:tbl>
    <w:p w14:paraId="5B50D4D6" w14:textId="77777777" w:rsidR="00483D15" w:rsidRDefault="00483D15">
      <w:pPr>
        <w:pStyle w:val="TableParagraph"/>
        <w:spacing w:line="360" w:lineRule="auto"/>
        <w:sectPr w:rsidR="00483D15">
          <w:type w:val="continuous"/>
          <w:pgSz w:w="11910" w:h="16840"/>
          <w:pgMar w:top="1400" w:right="566" w:bottom="1827" w:left="992" w:header="0" w:footer="1000" w:gutter="0"/>
          <w:cols w:space="720"/>
        </w:sectPr>
      </w:pPr>
    </w:p>
    <w:tbl>
      <w:tblPr>
        <w:tblW w:w="0" w:type="auto"/>
        <w:tblInd w:w="3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847"/>
        <w:gridCol w:w="8169"/>
      </w:tblGrid>
      <w:tr w:rsidR="00483D15" w14:paraId="4EF1F204" w14:textId="77777777">
        <w:trPr>
          <w:trHeight w:val="1328"/>
        </w:trPr>
        <w:tc>
          <w:tcPr>
            <w:tcW w:w="847" w:type="dxa"/>
          </w:tcPr>
          <w:p w14:paraId="4701ECBC" w14:textId="77777777" w:rsidR="00483D15" w:rsidRDefault="00000000">
            <w:pPr>
              <w:pStyle w:val="TableParagraph"/>
              <w:ind w:left="0" w:right="64"/>
              <w:jc w:val="center"/>
            </w:pPr>
            <w:r>
              <w:lastRenderedPageBreak/>
              <w:t>KPI</w:t>
            </w:r>
            <w:r>
              <w:rPr>
                <w:spacing w:val="-5"/>
              </w:rPr>
              <w:t xml:space="preserve"> 12</w:t>
            </w:r>
          </w:p>
        </w:tc>
        <w:tc>
          <w:tcPr>
            <w:tcW w:w="8169" w:type="dxa"/>
          </w:tcPr>
          <w:p w14:paraId="2FE3BDB7" w14:textId="77777777" w:rsidR="00483D15" w:rsidRDefault="00000000">
            <w:pPr>
              <w:pStyle w:val="TableParagraph"/>
              <w:spacing w:line="360" w:lineRule="auto"/>
              <w:ind w:left="107" w:right="461"/>
              <w:jc w:val="both"/>
            </w:pPr>
            <w:r>
              <w:t>The</w:t>
            </w:r>
            <w:r>
              <w:rPr>
                <w:spacing w:val="-5"/>
              </w:rPr>
              <w:t xml:space="preserve"> </w:t>
            </w:r>
            <w:r>
              <w:t>average</w:t>
            </w:r>
            <w:r>
              <w:rPr>
                <w:spacing w:val="-3"/>
              </w:rPr>
              <w:t xml:space="preserve"> </w:t>
            </w:r>
            <w:r>
              <w:t>period,</w:t>
            </w:r>
            <w:r>
              <w:rPr>
                <w:spacing w:val="-5"/>
              </w:rPr>
              <w:t xml:space="preserve"> </w:t>
            </w:r>
            <w:r>
              <w:t>in</w:t>
            </w:r>
            <w:r>
              <w:rPr>
                <w:spacing w:val="-4"/>
              </w:rPr>
              <w:t xml:space="preserve"> </w:t>
            </w:r>
            <w:r>
              <w:t>statutory</w:t>
            </w:r>
            <w:r>
              <w:rPr>
                <w:spacing w:val="-5"/>
              </w:rPr>
              <w:t xml:space="preserve"> </w:t>
            </w:r>
            <w:r>
              <w:t>days,</w:t>
            </w:r>
            <w:r>
              <w:rPr>
                <w:spacing w:val="-4"/>
              </w:rPr>
              <w:t xml:space="preserve"> </w:t>
            </w:r>
            <w:r>
              <w:t>between</w:t>
            </w:r>
            <w:r>
              <w:rPr>
                <w:spacing w:val="-4"/>
              </w:rPr>
              <w:t xml:space="preserve"> </w:t>
            </w:r>
            <w:r>
              <w:t>the</w:t>
            </w:r>
            <w:r>
              <w:rPr>
                <w:spacing w:val="-3"/>
              </w:rPr>
              <w:t xml:space="preserve"> </w:t>
            </w:r>
            <w:r>
              <w:t>receipt</w:t>
            </w:r>
            <w:r>
              <w:rPr>
                <w:spacing w:val="-5"/>
              </w:rPr>
              <w:t xml:space="preserve"> </w:t>
            </w:r>
            <w:r>
              <w:t>of</w:t>
            </w:r>
            <w:r>
              <w:rPr>
                <w:spacing w:val="-4"/>
              </w:rPr>
              <w:t xml:space="preserve"> </w:t>
            </w:r>
            <w:r>
              <w:t>the</w:t>
            </w:r>
            <w:r>
              <w:rPr>
                <w:spacing w:val="-4"/>
              </w:rPr>
              <w:t xml:space="preserve"> </w:t>
            </w:r>
            <w:r>
              <w:t>Assessment</w:t>
            </w:r>
            <w:r>
              <w:rPr>
                <w:spacing w:val="-4"/>
              </w:rPr>
              <w:t xml:space="preserve"> </w:t>
            </w:r>
            <w:r>
              <w:t>Report from</w:t>
            </w:r>
            <w:r>
              <w:rPr>
                <w:spacing w:val="-3"/>
              </w:rPr>
              <w:t xml:space="preserve"> </w:t>
            </w:r>
            <w:r>
              <w:t>NSW,</w:t>
            </w:r>
            <w:r>
              <w:rPr>
                <w:spacing w:val="-3"/>
              </w:rPr>
              <w:t xml:space="preserve"> </w:t>
            </w:r>
            <w:r>
              <w:t>which</w:t>
            </w:r>
            <w:r>
              <w:rPr>
                <w:spacing w:val="-2"/>
              </w:rPr>
              <w:t xml:space="preserve"> </w:t>
            </w:r>
            <w:r>
              <w:t>commences</w:t>
            </w:r>
            <w:r>
              <w:rPr>
                <w:spacing w:val="-3"/>
              </w:rPr>
              <w:t xml:space="preserve"> </w:t>
            </w:r>
            <w:r>
              <w:t>the</w:t>
            </w:r>
            <w:r>
              <w:rPr>
                <w:spacing w:val="-3"/>
              </w:rPr>
              <w:t xml:space="preserve"> </w:t>
            </w:r>
            <w:r>
              <w:t>statutory</w:t>
            </w:r>
            <w:r>
              <w:rPr>
                <w:spacing w:val="-3"/>
              </w:rPr>
              <w:t xml:space="preserve"> </w:t>
            </w:r>
            <w:r>
              <w:t>decision</w:t>
            </w:r>
            <w:r>
              <w:rPr>
                <w:spacing w:val="-2"/>
              </w:rPr>
              <w:t xml:space="preserve"> </w:t>
            </w:r>
            <w:r>
              <w:t>period</w:t>
            </w:r>
            <w:r>
              <w:rPr>
                <w:spacing w:val="-3"/>
              </w:rPr>
              <w:t xml:space="preserve"> </w:t>
            </w:r>
            <w:r>
              <w:t>under</w:t>
            </w:r>
            <w:r>
              <w:rPr>
                <w:spacing w:val="-2"/>
              </w:rPr>
              <w:t xml:space="preserve"> </w:t>
            </w:r>
            <w:r>
              <w:t>Part</w:t>
            </w:r>
            <w:r>
              <w:rPr>
                <w:spacing w:val="-3"/>
              </w:rPr>
              <w:t xml:space="preserve"> </w:t>
            </w:r>
            <w:r>
              <w:t>9</w:t>
            </w:r>
            <w:r>
              <w:rPr>
                <w:spacing w:val="-3"/>
              </w:rPr>
              <w:t xml:space="preserve"> </w:t>
            </w:r>
            <w:r>
              <w:t>of</w:t>
            </w:r>
            <w:r>
              <w:rPr>
                <w:spacing w:val="-3"/>
              </w:rPr>
              <w:t xml:space="preserve"> </w:t>
            </w:r>
            <w:r>
              <w:t>the</w:t>
            </w:r>
            <w:r>
              <w:rPr>
                <w:spacing w:val="-2"/>
              </w:rPr>
              <w:t xml:space="preserve"> </w:t>
            </w:r>
            <w:r>
              <w:t>EPBC Act, and the making of a decision on whether to approve the action.</w:t>
            </w:r>
          </w:p>
        </w:tc>
      </w:tr>
      <w:tr w:rsidR="00483D15" w14:paraId="706DECAF" w14:textId="77777777">
        <w:trPr>
          <w:trHeight w:val="2530"/>
        </w:trPr>
        <w:tc>
          <w:tcPr>
            <w:tcW w:w="847" w:type="dxa"/>
          </w:tcPr>
          <w:p w14:paraId="32DE69CE" w14:textId="77777777" w:rsidR="00483D15" w:rsidRDefault="00000000">
            <w:pPr>
              <w:pStyle w:val="TableParagraph"/>
              <w:spacing w:before="1"/>
              <w:ind w:left="0" w:right="64"/>
              <w:jc w:val="center"/>
            </w:pPr>
            <w:r>
              <w:t>KPI</w:t>
            </w:r>
            <w:r>
              <w:rPr>
                <w:spacing w:val="-5"/>
              </w:rPr>
              <w:t xml:space="preserve"> 13</w:t>
            </w:r>
          </w:p>
        </w:tc>
        <w:tc>
          <w:tcPr>
            <w:tcW w:w="8169" w:type="dxa"/>
          </w:tcPr>
          <w:p w14:paraId="198DE253" w14:textId="77777777" w:rsidR="00483D15" w:rsidRDefault="00000000">
            <w:pPr>
              <w:pStyle w:val="TableParagraph"/>
              <w:spacing w:before="1"/>
              <w:ind w:left="107"/>
            </w:pPr>
            <w:r>
              <w:t>The</w:t>
            </w:r>
            <w:r>
              <w:rPr>
                <w:spacing w:val="-10"/>
              </w:rPr>
              <w:t xml:space="preserve"> </w:t>
            </w:r>
            <w:r>
              <w:t>number</w:t>
            </w:r>
            <w:r>
              <w:rPr>
                <w:spacing w:val="-9"/>
              </w:rPr>
              <w:t xml:space="preserve"> </w:t>
            </w:r>
            <w:r>
              <w:t>of</w:t>
            </w:r>
            <w:r>
              <w:rPr>
                <w:spacing w:val="-10"/>
              </w:rPr>
              <w:t xml:space="preserve"> </w:t>
            </w:r>
            <w:r>
              <w:t>projects</w:t>
            </w:r>
            <w:r>
              <w:rPr>
                <w:spacing w:val="-9"/>
              </w:rPr>
              <w:t xml:space="preserve"> </w:t>
            </w:r>
            <w:r>
              <w:t>where</w:t>
            </w:r>
            <w:r>
              <w:rPr>
                <w:spacing w:val="-9"/>
              </w:rPr>
              <w:t xml:space="preserve"> </w:t>
            </w:r>
            <w:r>
              <w:t>the</w:t>
            </w:r>
            <w:r>
              <w:rPr>
                <w:spacing w:val="-10"/>
              </w:rPr>
              <w:t xml:space="preserve"> </w:t>
            </w:r>
            <w:r>
              <w:t>Commonwealth</w:t>
            </w:r>
            <w:r>
              <w:rPr>
                <w:spacing w:val="-9"/>
              </w:rPr>
              <w:t xml:space="preserve"> </w:t>
            </w:r>
            <w:r>
              <w:t>decision-maker</w:t>
            </w:r>
            <w:r>
              <w:rPr>
                <w:spacing w:val="-10"/>
              </w:rPr>
              <w:t xml:space="preserve"> </w:t>
            </w:r>
            <w:r>
              <w:t>decided</w:t>
            </w:r>
            <w:r>
              <w:rPr>
                <w:spacing w:val="-9"/>
              </w:rPr>
              <w:t xml:space="preserve"> </w:t>
            </w:r>
            <w:r>
              <w:t>to</w:t>
            </w:r>
            <w:r>
              <w:rPr>
                <w:spacing w:val="-9"/>
              </w:rPr>
              <w:t xml:space="preserve"> </w:t>
            </w:r>
            <w:r>
              <w:rPr>
                <w:spacing w:val="-2"/>
              </w:rPr>
              <w:t>apply:</w:t>
            </w:r>
          </w:p>
          <w:p w14:paraId="73303F80" w14:textId="77777777" w:rsidR="00483D15" w:rsidRDefault="00000000">
            <w:pPr>
              <w:pStyle w:val="TableParagraph"/>
              <w:numPr>
                <w:ilvl w:val="0"/>
                <w:numId w:val="25"/>
              </w:numPr>
              <w:tabs>
                <w:tab w:val="left" w:pos="827"/>
              </w:tabs>
              <w:spacing w:before="253"/>
            </w:pPr>
            <w:r>
              <w:t>no</w:t>
            </w:r>
            <w:r>
              <w:rPr>
                <w:spacing w:val="-11"/>
              </w:rPr>
              <w:t xml:space="preserve"> </w:t>
            </w:r>
            <w:r>
              <w:t>Commonwealth</w:t>
            </w:r>
            <w:r>
              <w:rPr>
                <w:spacing w:val="-10"/>
              </w:rPr>
              <w:t xml:space="preserve"> </w:t>
            </w:r>
            <w:r>
              <w:rPr>
                <w:spacing w:val="-2"/>
              </w:rPr>
              <w:t>conditions,</w:t>
            </w:r>
          </w:p>
          <w:p w14:paraId="1D00F7EE" w14:textId="77777777" w:rsidR="00483D15" w:rsidRDefault="00000000">
            <w:pPr>
              <w:pStyle w:val="TableParagraph"/>
              <w:numPr>
                <w:ilvl w:val="0"/>
                <w:numId w:val="25"/>
              </w:numPr>
              <w:tabs>
                <w:tab w:val="left" w:pos="827"/>
              </w:tabs>
              <w:spacing w:before="255"/>
            </w:pPr>
            <w:r>
              <w:t>a</w:t>
            </w:r>
            <w:r>
              <w:rPr>
                <w:spacing w:val="-10"/>
              </w:rPr>
              <w:t xml:space="preserve"> </w:t>
            </w:r>
            <w:r>
              <w:t>single</w:t>
            </w:r>
            <w:r>
              <w:rPr>
                <w:spacing w:val="-9"/>
              </w:rPr>
              <w:t xml:space="preserve"> </w:t>
            </w:r>
            <w:r>
              <w:t>condition</w:t>
            </w:r>
            <w:r>
              <w:rPr>
                <w:spacing w:val="-9"/>
              </w:rPr>
              <w:t xml:space="preserve"> </w:t>
            </w:r>
            <w:r>
              <w:t>requiring</w:t>
            </w:r>
            <w:r>
              <w:rPr>
                <w:spacing w:val="-9"/>
              </w:rPr>
              <w:t xml:space="preserve"> </w:t>
            </w:r>
            <w:r>
              <w:t>compliance</w:t>
            </w:r>
            <w:r>
              <w:rPr>
                <w:spacing w:val="-8"/>
              </w:rPr>
              <w:t xml:space="preserve"> </w:t>
            </w:r>
            <w:r>
              <w:t>with</w:t>
            </w:r>
            <w:r>
              <w:rPr>
                <w:spacing w:val="-9"/>
              </w:rPr>
              <w:t xml:space="preserve"> </w:t>
            </w:r>
            <w:r>
              <w:t>NSW</w:t>
            </w:r>
            <w:r>
              <w:rPr>
                <w:spacing w:val="-8"/>
              </w:rPr>
              <w:t xml:space="preserve"> </w:t>
            </w:r>
            <w:r>
              <w:t>conditions,</w:t>
            </w:r>
            <w:r>
              <w:rPr>
                <w:spacing w:val="-10"/>
              </w:rPr>
              <w:t xml:space="preserve"> </w:t>
            </w:r>
            <w:r>
              <w:rPr>
                <w:spacing w:val="-5"/>
              </w:rPr>
              <w:t>or</w:t>
            </w:r>
          </w:p>
          <w:p w14:paraId="493424A0" w14:textId="77777777" w:rsidR="00483D15" w:rsidRDefault="00000000">
            <w:pPr>
              <w:pStyle w:val="TableParagraph"/>
              <w:numPr>
                <w:ilvl w:val="0"/>
                <w:numId w:val="25"/>
              </w:numPr>
              <w:tabs>
                <w:tab w:val="left" w:pos="827"/>
              </w:tabs>
              <w:spacing w:before="253" w:line="357" w:lineRule="auto"/>
              <w:ind w:right="1153"/>
            </w:pPr>
            <w:r>
              <w:t>additional</w:t>
            </w:r>
            <w:r>
              <w:rPr>
                <w:spacing w:val="-7"/>
              </w:rPr>
              <w:t xml:space="preserve"> </w:t>
            </w:r>
            <w:r>
              <w:t>Commonwealth</w:t>
            </w:r>
            <w:r>
              <w:rPr>
                <w:spacing w:val="-6"/>
              </w:rPr>
              <w:t xml:space="preserve"> </w:t>
            </w:r>
            <w:r>
              <w:t>conditions,</w:t>
            </w:r>
            <w:r>
              <w:rPr>
                <w:spacing w:val="-7"/>
              </w:rPr>
              <w:t xml:space="preserve"> </w:t>
            </w:r>
            <w:r>
              <w:t>including</w:t>
            </w:r>
            <w:r>
              <w:rPr>
                <w:spacing w:val="-6"/>
              </w:rPr>
              <w:t xml:space="preserve"> </w:t>
            </w:r>
            <w:r>
              <w:t>conditions</w:t>
            </w:r>
            <w:r>
              <w:rPr>
                <w:spacing w:val="-7"/>
              </w:rPr>
              <w:t xml:space="preserve"> </w:t>
            </w:r>
            <w:r>
              <w:t>that</w:t>
            </w:r>
            <w:r>
              <w:rPr>
                <w:spacing w:val="-6"/>
              </w:rPr>
              <w:t xml:space="preserve"> </w:t>
            </w:r>
            <w:r>
              <w:t>were recommended by NSW.</w:t>
            </w:r>
          </w:p>
        </w:tc>
      </w:tr>
    </w:tbl>
    <w:p w14:paraId="441DD841" w14:textId="77777777" w:rsidR="00483D15" w:rsidRDefault="00483D15">
      <w:pPr>
        <w:pStyle w:val="BodyText"/>
      </w:pPr>
    </w:p>
    <w:p w14:paraId="47FE17FE" w14:textId="77777777" w:rsidR="00483D15" w:rsidRDefault="00483D15">
      <w:pPr>
        <w:pStyle w:val="BodyText"/>
        <w:spacing w:before="8"/>
      </w:pPr>
    </w:p>
    <w:p w14:paraId="79EB5811" w14:textId="77777777" w:rsidR="00483D15" w:rsidRDefault="00000000">
      <w:pPr>
        <w:pStyle w:val="Heading4"/>
        <w:numPr>
          <w:ilvl w:val="0"/>
          <w:numId w:val="30"/>
        </w:numPr>
        <w:tabs>
          <w:tab w:val="left" w:pos="1242"/>
        </w:tabs>
        <w:ind w:hanging="397"/>
      </w:pPr>
      <w:r>
        <w:rPr>
          <w:spacing w:val="-2"/>
        </w:rPr>
        <w:t>Evaluation</w:t>
      </w:r>
    </w:p>
    <w:p w14:paraId="549E7A7D" w14:textId="77777777" w:rsidR="00483D15" w:rsidRDefault="00000000">
      <w:pPr>
        <w:pStyle w:val="BodyText"/>
        <w:spacing w:before="253" w:line="360" w:lineRule="auto"/>
        <w:ind w:left="21" w:right="923"/>
      </w:pPr>
      <w:r>
        <w:t>Independent</w:t>
      </w:r>
      <w:r>
        <w:rPr>
          <w:spacing w:val="-3"/>
        </w:rPr>
        <w:t xml:space="preserve"> </w:t>
      </w:r>
      <w:r>
        <w:t>consultants</w:t>
      </w:r>
      <w:r>
        <w:rPr>
          <w:spacing w:val="-4"/>
        </w:rPr>
        <w:t xml:space="preserve"> </w:t>
      </w:r>
      <w:r>
        <w:t>Nous</w:t>
      </w:r>
      <w:r>
        <w:rPr>
          <w:spacing w:val="-4"/>
        </w:rPr>
        <w:t xml:space="preserve"> </w:t>
      </w:r>
      <w:r>
        <w:t>Group</w:t>
      </w:r>
      <w:r>
        <w:rPr>
          <w:spacing w:val="-3"/>
        </w:rPr>
        <w:t xml:space="preserve"> </w:t>
      </w:r>
      <w:r>
        <w:t>evaluated</w:t>
      </w:r>
      <w:r>
        <w:rPr>
          <w:spacing w:val="-4"/>
        </w:rPr>
        <w:t xml:space="preserve"> </w:t>
      </w:r>
      <w:r>
        <w:t>the</w:t>
      </w:r>
      <w:r>
        <w:rPr>
          <w:spacing w:val="-4"/>
        </w:rPr>
        <w:t xml:space="preserve"> </w:t>
      </w:r>
      <w:r>
        <w:t>KPI</w:t>
      </w:r>
      <w:r>
        <w:rPr>
          <w:spacing w:val="-4"/>
        </w:rPr>
        <w:t xml:space="preserve"> </w:t>
      </w:r>
      <w:r>
        <w:t>data,</w:t>
      </w:r>
      <w:r>
        <w:rPr>
          <w:spacing w:val="-4"/>
        </w:rPr>
        <w:t xml:space="preserve"> </w:t>
      </w:r>
      <w:r>
        <w:t>and</w:t>
      </w:r>
      <w:r>
        <w:rPr>
          <w:spacing w:val="-4"/>
        </w:rPr>
        <w:t xml:space="preserve"> </w:t>
      </w:r>
      <w:r>
        <w:t>considered</w:t>
      </w:r>
      <w:r>
        <w:rPr>
          <w:spacing w:val="-4"/>
        </w:rPr>
        <w:t xml:space="preserve"> </w:t>
      </w:r>
      <w:r>
        <w:t>conformance</w:t>
      </w:r>
      <w:r>
        <w:rPr>
          <w:spacing w:val="-4"/>
        </w:rPr>
        <w:t xml:space="preserve"> </w:t>
      </w:r>
      <w:r>
        <w:t>reviews, operational updates and related documentation.</w:t>
      </w:r>
    </w:p>
    <w:p w14:paraId="5ECDE00E" w14:textId="77777777" w:rsidR="00483D15" w:rsidRDefault="00000000">
      <w:pPr>
        <w:pStyle w:val="BodyText"/>
        <w:spacing w:before="121" w:line="360" w:lineRule="auto"/>
        <w:ind w:left="21" w:right="876"/>
      </w:pPr>
      <w:r>
        <w:t>Internal</w:t>
      </w:r>
      <w:r>
        <w:rPr>
          <w:spacing w:val="-3"/>
        </w:rPr>
        <w:t xml:space="preserve"> </w:t>
      </w:r>
      <w:r>
        <w:t>consultation</w:t>
      </w:r>
      <w:r>
        <w:rPr>
          <w:spacing w:val="-3"/>
        </w:rPr>
        <w:t xml:space="preserve"> </w:t>
      </w:r>
      <w:r>
        <w:t>with</w:t>
      </w:r>
      <w:r>
        <w:rPr>
          <w:spacing w:val="-2"/>
        </w:rPr>
        <w:t xml:space="preserve"> </w:t>
      </w:r>
      <w:r>
        <w:t>DPIE</w:t>
      </w:r>
      <w:r>
        <w:rPr>
          <w:spacing w:val="-4"/>
        </w:rPr>
        <w:t xml:space="preserve"> </w:t>
      </w:r>
      <w:r>
        <w:t>and</w:t>
      </w:r>
      <w:r>
        <w:rPr>
          <w:spacing w:val="-3"/>
        </w:rPr>
        <w:t xml:space="preserve"> </w:t>
      </w:r>
      <w:r>
        <w:t>DAWE</w:t>
      </w:r>
      <w:r>
        <w:rPr>
          <w:spacing w:val="-4"/>
        </w:rPr>
        <w:t xml:space="preserve"> </w:t>
      </w:r>
      <w:r>
        <w:t>stakeholders</w:t>
      </w:r>
      <w:r>
        <w:rPr>
          <w:spacing w:val="-4"/>
        </w:rPr>
        <w:t xml:space="preserve"> </w:t>
      </w:r>
      <w:r>
        <w:t>(at</w:t>
      </w:r>
      <w:r>
        <w:rPr>
          <w:spacing w:val="-4"/>
        </w:rPr>
        <w:t xml:space="preserve"> </w:t>
      </w:r>
      <w:r>
        <w:t>the</w:t>
      </w:r>
      <w:r>
        <w:rPr>
          <w:spacing w:val="-3"/>
        </w:rPr>
        <w:t xml:space="preserve"> </w:t>
      </w:r>
      <w:r>
        <w:t>Executive</w:t>
      </w:r>
      <w:r>
        <w:rPr>
          <w:spacing w:val="-4"/>
        </w:rPr>
        <w:t xml:space="preserve"> </w:t>
      </w:r>
      <w:r>
        <w:t>and</w:t>
      </w:r>
      <w:r>
        <w:rPr>
          <w:spacing w:val="-3"/>
        </w:rPr>
        <w:t xml:space="preserve"> </w:t>
      </w:r>
      <w:r>
        <w:t>Director</w:t>
      </w:r>
      <w:r>
        <w:rPr>
          <w:spacing w:val="-4"/>
        </w:rPr>
        <w:t xml:space="preserve"> </w:t>
      </w:r>
      <w:r>
        <w:t>level)</w:t>
      </w:r>
      <w:r>
        <w:rPr>
          <w:spacing w:val="-3"/>
        </w:rPr>
        <w:t xml:space="preserve"> </w:t>
      </w:r>
      <w:r>
        <w:t>informed</w:t>
      </w:r>
      <w:r>
        <w:rPr>
          <w:spacing w:val="-3"/>
        </w:rPr>
        <w:t xml:space="preserve"> </w:t>
      </w:r>
      <w:r>
        <w:t>the consultants’ initial evaluation findings. The stakeholders were asked to comment on the effectiveness of the operation of the Agreement, including the focus areas of state assessments, offset approaches and regulatory duplication.</w:t>
      </w:r>
    </w:p>
    <w:p w14:paraId="1B196057" w14:textId="77777777" w:rsidR="00483D15" w:rsidRDefault="00000000">
      <w:pPr>
        <w:pStyle w:val="BodyText"/>
        <w:spacing w:before="119" w:line="360" w:lineRule="auto"/>
        <w:ind w:left="21" w:right="923"/>
      </w:pPr>
      <w:r>
        <w:t>DPIE</w:t>
      </w:r>
      <w:r>
        <w:rPr>
          <w:spacing w:val="-4"/>
        </w:rPr>
        <w:t xml:space="preserve"> </w:t>
      </w:r>
      <w:r>
        <w:t>ran</w:t>
      </w:r>
      <w:r>
        <w:rPr>
          <w:spacing w:val="-2"/>
        </w:rPr>
        <w:t xml:space="preserve"> </w:t>
      </w:r>
      <w:r>
        <w:t>targeted</w:t>
      </w:r>
      <w:r>
        <w:rPr>
          <w:spacing w:val="-2"/>
        </w:rPr>
        <w:t xml:space="preserve"> </w:t>
      </w:r>
      <w:r>
        <w:t>external</w:t>
      </w:r>
      <w:r>
        <w:rPr>
          <w:spacing w:val="-2"/>
        </w:rPr>
        <w:t xml:space="preserve"> </w:t>
      </w:r>
      <w:r>
        <w:t>stakeholder</w:t>
      </w:r>
      <w:r>
        <w:rPr>
          <w:spacing w:val="-2"/>
        </w:rPr>
        <w:t xml:space="preserve"> </w:t>
      </w:r>
      <w:r>
        <w:t>consultation</w:t>
      </w:r>
      <w:r>
        <w:rPr>
          <w:spacing w:val="-2"/>
        </w:rPr>
        <w:t xml:space="preserve"> </w:t>
      </w:r>
      <w:r>
        <w:t>(i.e.</w:t>
      </w:r>
      <w:r>
        <w:rPr>
          <w:spacing w:val="-3"/>
        </w:rPr>
        <w:t xml:space="preserve"> </w:t>
      </w:r>
      <w:r>
        <w:t>with</w:t>
      </w:r>
      <w:r>
        <w:rPr>
          <w:spacing w:val="-2"/>
        </w:rPr>
        <w:t xml:space="preserve"> </w:t>
      </w:r>
      <w:r>
        <w:t>stakeholders</w:t>
      </w:r>
      <w:r>
        <w:rPr>
          <w:spacing w:val="-3"/>
        </w:rPr>
        <w:t xml:space="preserve"> </w:t>
      </w:r>
      <w:r>
        <w:t>outside</w:t>
      </w:r>
      <w:r>
        <w:rPr>
          <w:spacing w:val="-3"/>
        </w:rPr>
        <w:t xml:space="preserve"> </w:t>
      </w:r>
      <w:r>
        <w:t>of</w:t>
      </w:r>
      <w:r>
        <w:rPr>
          <w:spacing w:val="-3"/>
        </w:rPr>
        <w:t xml:space="preserve"> </w:t>
      </w:r>
      <w:r>
        <w:t>DPIE</w:t>
      </w:r>
      <w:r>
        <w:rPr>
          <w:spacing w:val="-2"/>
        </w:rPr>
        <w:t xml:space="preserve"> </w:t>
      </w:r>
      <w:r>
        <w:t>and</w:t>
      </w:r>
      <w:r>
        <w:rPr>
          <w:spacing w:val="-3"/>
        </w:rPr>
        <w:t xml:space="preserve"> </w:t>
      </w:r>
      <w:r>
        <w:t>DAWE)</w:t>
      </w:r>
      <w:r>
        <w:rPr>
          <w:spacing w:val="-3"/>
        </w:rPr>
        <w:t xml:space="preserve"> </w:t>
      </w:r>
      <w:r>
        <w:t>to gauge the effectiveness of the Agreement’s operation.</w:t>
      </w:r>
    </w:p>
    <w:p w14:paraId="3791A89F" w14:textId="77777777" w:rsidR="00483D15" w:rsidRDefault="00483D15">
      <w:pPr>
        <w:pStyle w:val="BodyText"/>
      </w:pPr>
    </w:p>
    <w:p w14:paraId="69FEAC62" w14:textId="77777777" w:rsidR="00483D15" w:rsidRDefault="00483D15">
      <w:pPr>
        <w:pStyle w:val="BodyText"/>
        <w:spacing w:before="106"/>
      </w:pPr>
    </w:p>
    <w:p w14:paraId="6A281686" w14:textId="77777777" w:rsidR="00483D15" w:rsidRDefault="00000000">
      <w:pPr>
        <w:pStyle w:val="Heading4"/>
        <w:numPr>
          <w:ilvl w:val="0"/>
          <w:numId w:val="30"/>
        </w:numPr>
        <w:tabs>
          <w:tab w:val="left" w:pos="1242"/>
        </w:tabs>
        <w:ind w:hanging="397"/>
      </w:pPr>
      <w:r>
        <w:t>Review</w:t>
      </w:r>
      <w:r>
        <w:rPr>
          <w:spacing w:val="-10"/>
        </w:rPr>
        <w:t xml:space="preserve"> </w:t>
      </w:r>
      <w:r>
        <w:rPr>
          <w:spacing w:val="-2"/>
        </w:rPr>
        <w:t>Report</w:t>
      </w:r>
    </w:p>
    <w:p w14:paraId="1EF4F43D" w14:textId="77777777" w:rsidR="00483D15" w:rsidRDefault="00000000">
      <w:pPr>
        <w:pStyle w:val="BodyText"/>
        <w:spacing w:before="255" w:line="360" w:lineRule="auto"/>
        <w:ind w:left="21" w:right="923"/>
      </w:pPr>
      <w:r>
        <w:t>DPIE</w:t>
      </w:r>
      <w:r>
        <w:rPr>
          <w:spacing w:val="-3"/>
        </w:rPr>
        <w:t xml:space="preserve"> </w:t>
      </w:r>
      <w:r>
        <w:t>and</w:t>
      </w:r>
      <w:r>
        <w:rPr>
          <w:spacing w:val="-2"/>
        </w:rPr>
        <w:t xml:space="preserve"> </w:t>
      </w:r>
      <w:r>
        <w:t>DAWE</w:t>
      </w:r>
      <w:r>
        <w:rPr>
          <w:spacing w:val="-3"/>
        </w:rPr>
        <w:t xml:space="preserve"> </w:t>
      </w:r>
      <w:r>
        <w:t>have</w:t>
      </w:r>
      <w:r>
        <w:rPr>
          <w:spacing w:val="-2"/>
        </w:rPr>
        <w:t xml:space="preserve"> </w:t>
      </w:r>
      <w:r>
        <w:t>created</w:t>
      </w:r>
      <w:r>
        <w:rPr>
          <w:spacing w:val="-2"/>
        </w:rPr>
        <w:t xml:space="preserve"> </w:t>
      </w:r>
      <w:r>
        <w:t>this</w:t>
      </w:r>
      <w:r>
        <w:rPr>
          <w:spacing w:val="-3"/>
        </w:rPr>
        <w:t xml:space="preserve"> </w:t>
      </w:r>
      <w:r>
        <w:t>final</w:t>
      </w:r>
      <w:r>
        <w:rPr>
          <w:spacing w:val="-2"/>
        </w:rPr>
        <w:t xml:space="preserve"> </w:t>
      </w:r>
      <w:r>
        <w:t>Five-Year</w:t>
      </w:r>
      <w:r>
        <w:rPr>
          <w:spacing w:val="-2"/>
        </w:rPr>
        <w:t xml:space="preserve"> </w:t>
      </w:r>
      <w:r>
        <w:t>Review</w:t>
      </w:r>
      <w:r>
        <w:rPr>
          <w:spacing w:val="-3"/>
        </w:rPr>
        <w:t xml:space="preserve"> </w:t>
      </w:r>
      <w:r>
        <w:t>Report</w:t>
      </w:r>
      <w:r>
        <w:rPr>
          <w:spacing w:val="-2"/>
        </w:rPr>
        <w:t xml:space="preserve"> </w:t>
      </w:r>
      <w:r>
        <w:t>using</w:t>
      </w:r>
      <w:r>
        <w:rPr>
          <w:spacing w:val="-3"/>
        </w:rPr>
        <w:t xml:space="preserve"> </w:t>
      </w:r>
      <w:r>
        <w:t>the</w:t>
      </w:r>
      <w:r>
        <w:rPr>
          <w:spacing w:val="-2"/>
        </w:rPr>
        <w:t xml:space="preserve"> </w:t>
      </w:r>
      <w:r>
        <w:t>Nous</w:t>
      </w:r>
      <w:r>
        <w:rPr>
          <w:spacing w:val="-3"/>
        </w:rPr>
        <w:t xml:space="preserve"> </w:t>
      </w:r>
      <w:r>
        <w:t>Group</w:t>
      </w:r>
      <w:r>
        <w:rPr>
          <w:spacing w:val="-2"/>
        </w:rPr>
        <w:t xml:space="preserve"> </w:t>
      </w:r>
      <w:r>
        <w:t>evaluation</w:t>
      </w:r>
      <w:r>
        <w:rPr>
          <w:spacing w:val="-3"/>
        </w:rPr>
        <w:t xml:space="preserve"> </w:t>
      </w:r>
      <w:r>
        <w:t>and input from the targeted external stakeholder consultation.</w:t>
      </w:r>
    </w:p>
    <w:p w14:paraId="364A8EAB" w14:textId="77777777" w:rsidR="00483D15" w:rsidRDefault="00000000">
      <w:pPr>
        <w:pStyle w:val="BodyText"/>
        <w:spacing w:before="121" w:line="360" w:lineRule="auto"/>
        <w:ind w:left="21" w:right="923"/>
      </w:pPr>
      <w:r>
        <w:t>Following</w:t>
      </w:r>
      <w:r>
        <w:rPr>
          <w:spacing w:val="-4"/>
        </w:rPr>
        <w:t xml:space="preserve"> </w:t>
      </w:r>
      <w:r>
        <w:t>consultation</w:t>
      </w:r>
      <w:r>
        <w:rPr>
          <w:spacing w:val="-3"/>
        </w:rPr>
        <w:t xml:space="preserve"> </w:t>
      </w:r>
      <w:r>
        <w:t>with</w:t>
      </w:r>
      <w:r>
        <w:rPr>
          <w:spacing w:val="-3"/>
        </w:rPr>
        <w:t xml:space="preserve"> </w:t>
      </w:r>
      <w:r>
        <w:t>the</w:t>
      </w:r>
      <w:r>
        <w:rPr>
          <w:spacing w:val="-3"/>
        </w:rPr>
        <w:t xml:space="preserve"> </w:t>
      </w:r>
      <w:r>
        <w:t>relevant</w:t>
      </w:r>
      <w:r>
        <w:rPr>
          <w:spacing w:val="-3"/>
        </w:rPr>
        <w:t xml:space="preserve"> </w:t>
      </w:r>
      <w:r>
        <w:t>NSW</w:t>
      </w:r>
      <w:r>
        <w:rPr>
          <w:spacing w:val="-4"/>
        </w:rPr>
        <w:t xml:space="preserve"> </w:t>
      </w:r>
      <w:r>
        <w:t>Ministers,</w:t>
      </w:r>
      <w:r>
        <w:rPr>
          <w:spacing w:val="-4"/>
        </w:rPr>
        <w:t xml:space="preserve"> </w:t>
      </w:r>
      <w:r>
        <w:t>the</w:t>
      </w:r>
      <w:r>
        <w:rPr>
          <w:spacing w:val="-3"/>
        </w:rPr>
        <w:t xml:space="preserve"> </w:t>
      </w:r>
      <w:proofErr w:type="gramStart"/>
      <w:r>
        <w:t>Commonwealth</w:t>
      </w:r>
      <w:r>
        <w:rPr>
          <w:spacing w:val="-2"/>
        </w:rPr>
        <w:t xml:space="preserve"> </w:t>
      </w:r>
      <w:r>
        <w:t>Minister</w:t>
      </w:r>
      <w:proofErr w:type="gramEnd"/>
      <w:r>
        <w:rPr>
          <w:spacing w:val="-4"/>
        </w:rPr>
        <w:t xml:space="preserve"> </w:t>
      </w:r>
      <w:r>
        <w:t>will</w:t>
      </w:r>
      <w:r>
        <w:rPr>
          <w:spacing w:val="-2"/>
        </w:rPr>
        <w:t xml:space="preserve"> </w:t>
      </w:r>
      <w:r>
        <w:t>publish</w:t>
      </w:r>
      <w:r>
        <w:rPr>
          <w:spacing w:val="-3"/>
        </w:rPr>
        <w:t xml:space="preserve"> </w:t>
      </w:r>
      <w:r>
        <w:t>the report on the DAWE website.</w:t>
      </w:r>
    </w:p>
    <w:p w14:paraId="65500D09" w14:textId="77777777" w:rsidR="00483D15" w:rsidRDefault="00483D15">
      <w:pPr>
        <w:pStyle w:val="BodyText"/>
        <w:spacing w:line="360" w:lineRule="auto"/>
        <w:sectPr w:rsidR="00483D15">
          <w:type w:val="continuous"/>
          <w:pgSz w:w="11910" w:h="16840"/>
          <w:pgMar w:top="1400" w:right="566" w:bottom="1200" w:left="992" w:header="0" w:footer="1000" w:gutter="0"/>
          <w:cols w:space="720"/>
        </w:sectPr>
      </w:pPr>
    </w:p>
    <w:p w14:paraId="4B110715" w14:textId="77777777" w:rsidR="00483D15" w:rsidRDefault="00000000">
      <w:pPr>
        <w:pStyle w:val="Heading2"/>
      </w:pPr>
      <w:r>
        <w:lastRenderedPageBreak/>
        <w:t>SECTION</w:t>
      </w:r>
      <w:r>
        <w:rPr>
          <w:spacing w:val="-4"/>
        </w:rPr>
        <w:t xml:space="preserve"> </w:t>
      </w:r>
      <w:r>
        <w:t>2</w:t>
      </w:r>
      <w:r>
        <w:rPr>
          <w:spacing w:val="-2"/>
        </w:rPr>
        <w:t xml:space="preserve"> </w:t>
      </w:r>
      <w:r>
        <w:t>–</w:t>
      </w:r>
      <w:r>
        <w:rPr>
          <w:spacing w:val="-2"/>
        </w:rPr>
        <w:t xml:space="preserve"> </w:t>
      </w:r>
      <w:r>
        <w:t>REVIEW</w:t>
      </w:r>
      <w:r>
        <w:rPr>
          <w:spacing w:val="-1"/>
        </w:rPr>
        <w:t xml:space="preserve"> </w:t>
      </w:r>
      <w:r>
        <w:rPr>
          <w:spacing w:val="-2"/>
        </w:rPr>
        <w:t>FINDINGS</w:t>
      </w:r>
    </w:p>
    <w:p w14:paraId="67499149" w14:textId="77777777" w:rsidR="00483D15" w:rsidRDefault="00000000">
      <w:pPr>
        <w:pStyle w:val="BodyText"/>
        <w:spacing w:before="271" w:line="360" w:lineRule="auto"/>
        <w:ind w:left="22" w:right="923"/>
      </w:pPr>
      <w:r>
        <w:t>This</w:t>
      </w:r>
      <w:r>
        <w:rPr>
          <w:spacing w:val="-3"/>
        </w:rPr>
        <w:t xml:space="preserve"> </w:t>
      </w:r>
      <w:r>
        <w:t>section</w:t>
      </w:r>
      <w:r>
        <w:rPr>
          <w:spacing w:val="-3"/>
        </w:rPr>
        <w:t xml:space="preserve"> </w:t>
      </w:r>
      <w:r>
        <w:t>will</w:t>
      </w:r>
      <w:r>
        <w:rPr>
          <w:spacing w:val="-3"/>
        </w:rPr>
        <w:t xml:space="preserve"> </w:t>
      </w:r>
      <w:r>
        <w:t>describe</w:t>
      </w:r>
      <w:r>
        <w:rPr>
          <w:spacing w:val="-3"/>
        </w:rPr>
        <w:t xml:space="preserve"> </w:t>
      </w:r>
      <w:r>
        <w:t>how</w:t>
      </w:r>
      <w:r>
        <w:rPr>
          <w:spacing w:val="-3"/>
        </w:rPr>
        <w:t xml:space="preserve"> </w:t>
      </w:r>
      <w:r>
        <w:t>the</w:t>
      </w:r>
      <w:r>
        <w:rPr>
          <w:spacing w:val="-3"/>
        </w:rPr>
        <w:t xml:space="preserve"> </w:t>
      </w:r>
      <w:r>
        <w:t>data</w:t>
      </w:r>
      <w:r>
        <w:rPr>
          <w:spacing w:val="-2"/>
        </w:rPr>
        <w:t xml:space="preserve"> </w:t>
      </w:r>
      <w:r>
        <w:t>from</w:t>
      </w:r>
      <w:r>
        <w:rPr>
          <w:spacing w:val="-3"/>
        </w:rPr>
        <w:t xml:space="preserve"> </w:t>
      </w:r>
      <w:r>
        <w:t>the</w:t>
      </w:r>
      <w:r>
        <w:rPr>
          <w:spacing w:val="-3"/>
        </w:rPr>
        <w:t xml:space="preserve"> </w:t>
      </w:r>
      <w:r>
        <w:t>KPIs</w:t>
      </w:r>
      <w:r>
        <w:rPr>
          <w:spacing w:val="-3"/>
        </w:rPr>
        <w:t xml:space="preserve"> </w:t>
      </w:r>
      <w:r>
        <w:t>and</w:t>
      </w:r>
      <w:r>
        <w:rPr>
          <w:spacing w:val="-3"/>
        </w:rPr>
        <w:t xml:space="preserve"> </w:t>
      </w:r>
      <w:r>
        <w:t>stakeholder</w:t>
      </w:r>
      <w:r>
        <w:rPr>
          <w:spacing w:val="-3"/>
        </w:rPr>
        <w:t xml:space="preserve"> </w:t>
      </w:r>
      <w:r>
        <w:t>consultation</w:t>
      </w:r>
      <w:r>
        <w:rPr>
          <w:spacing w:val="-3"/>
        </w:rPr>
        <w:t xml:space="preserve"> </w:t>
      </w:r>
      <w:r>
        <w:t>answered</w:t>
      </w:r>
      <w:r>
        <w:rPr>
          <w:spacing w:val="-3"/>
        </w:rPr>
        <w:t xml:space="preserve"> </w:t>
      </w:r>
      <w:r>
        <w:t>the</w:t>
      </w:r>
      <w:r>
        <w:rPr>
          <w:spacing w:val="-3"/>
        </w:rPr>
        <w:t xml:space="preserve"> </w:t>
      </w:r>
      <w:r>
        <w:t>three key questions:</w:t>
      </w:r>
    </w:p>
    <w:p w14:paraId="0C578380" w14:textId="77777777" w:rsidR="00483D15" w:rsidRDefault="00000000">
      <w:pPr>
        <w:pStyle w:val="BodyText"/>
        <w:spacing w:before="9"/>
        <w:rPr>
          <w:sz w:val="7"/>
        </w:rPr>
      </w:pPr>
      <w:r>
        <w:rPr>
          <w:noProof/>
          <w:sz w:val="7"/>
        </w:rPr>
        <w:drawing>
          <wp:anchor distT="0" distB="0" distL="0" distR="0" simplePos="0" relativeHeight="487593984" behindDoc="1" locked="0" layoutInCell="1" allowOverlap="1" wp14:anchorId="59E3D764" wp14:editId="07BE62E4">
            <wp:simplePos x="0" y="0"/>
            <wp:positionH relativeFrom="page">
              <wp:posOffset>869633</wp:posOffset>
            </wp:positionH>
            <wp:positionV relativeFrom="paragraph">
              <wp:posOffset>75620</wp:posOffset>
            </wp:positionV>
            <wp:extent cx="5484548" cy="1493329"/>
            <wp:effectExtent l="0" t="0" r="0" b="0"/>
            <wp:wrapTopAndBottom/>
            <wp:docPr id="22" name="Image 22" descr="Three numbered boxes presenting key evaluation questions: (1) how well matters required by the Bilateral Agreement are addressed in state assessments; (2) how effective the Commonwealth’s endorsement of NSW offset approaches is in ensuring long‑term environmental outcomes for matters of national environmental significance; and (3) how effective the Bilateral Agreement is in reducing duplication in regulatory processes."/>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2" name="Image 22" descr="Three numbered boxes presenting key evaluation questions: (1) how well matters required by the Bilateral Agreement are addressed in state assessments; (2) how effective the Commonwealth’s endorsement of NSW offset approaches is in ensuring long‑term environmental outcomes for matters of national environmental significance; and (3) how effective the Bilateral Agreement is in reducing duplication in regulatory processes."/>
                    <pic:cNvPicPr/>
                  </pic:nvPicPr>
                  <pic:blipFill>
                    <a:blip r:embed="rId20" cstate="print"/>
                    <a:stretch>
                      <a:fillRect/>
                    </a:stretch>
                  </pic:blipFill>
                  <pic:spPr>
                    <a:xfrm>
                      <a:off x="0" y="0"/>
                      <a:ext cx="5484548" cy="1493329"/>
                    </a:xfrm>
                    <a:prstGeom prst="rect">
                      <a:avLst/>
                    </a:prstGeom>
                  </pic:spPr>
                </pic:pic>
              </a:graphicData>
            </a:graphic>
          </wp:anchor>
        </w:drawing>
      </w:r>
    </w:p>
    <w:p w14:paraId="145C8125" w14:textId="77777777" w:rsidR="00483D15" w:rsidRDefault="00483D15">
      <w:pPr>
        <w:pStyle w:val="BodyText"/>
      </w:pPr>
    </w:p>
    <w:p w14:paraId="3BD33265" w14:textId="77777777" w:rsidR="00483D15" w:rsidRDefault="00483D15">
      <w:pPr>
        <w:pStyle w:val="BodyText"/>
      </w:pPr>
    </w:p>
    <w:p w14:paraId="3041313F" w14:textId="77777777" w:rsidR="00483D15" w:rsidRDefault="00483D15">
      <w:pPr>
        <w:pStyle w:val="BodyText"/>
      </w:pPr>
    </w:p>
    <w:p w14:paraId="11984BA1" w14:textId="6FC6FC7F" w:rsidR="002A2154" w:rsidRPr="002A2154" w:rsidRDefault="00000000" w:rsidP="003B297C">
      <w:pPr>
        <w:pStyle w:val="Heading4"/>
        <w:spacing w:line="360" w:lineRule="auto"/>
        <w:ind w:left="22"/>
        <w:rPr>
          <w:spacing w:val="-2"/>
        </w:rPr>
      </w:pPr>
      <w:r>
        <w:t>Question</w:t>
      </w:r>
      <w:r>
        <w:rPr>
          <w:spacing w:val="-6"/>
        </w:rPr>
        <w:t xml:space="preserve"> </w:t>
      </w:r>
      <w:r>
        <w:t>1:</w:t>
      </w:r>
      <w:r>
        <w:rPr>
          <w:spacing w:val="-6"/>
        </w:rPr>
        <w:t xml:space="preserve"> </w:t>
      </w:r>
      <w:r>
        <w:t>How</w:t>
      </w:r>
      <w:r>
        <w:rPr>
          <w:spacing w:val="-6"/>
        </w:rPr>
        <w:t xml:space="preserve"> </w:t>
      </w:r>
      <w:r>
        <w:t>well</w:t>
      </w:r>
      <w:r>
        <w:rPr>
          <w:spacing w:val="-6"/>
        </w:rPr>
        <w:t xml:space="preserve"> </w:t>
      </w:r>
      <w:r>
        <w:t>are</w:t>
      </w:r>
      <w:r>
        <w:rPr>
          <w:spacing w:val="-6"/>
        </w:rPr>
        <w:t xml:space="preserve"> </w:t>
      </w:r>
      <w:r>
        <w:t>matters</w:t>
      </w:r>
      <w:r>
        <w:rPr>
          <w:spacing w:val="-6"/>
        </w:rPr>
        <w:t xml:space="preserve"> </w:t>
      </w:r>
      <w:r>
        <w:t>required</w:t>
      </w:r>
      <w:r>
        <w:rPr>
          <w:spacing w:val="-6"/>
        </w:rPr>
        <w:t xml:space="preserve"> </w:t>
      </w:r>
      <w:r>
        <w:t>by</w:t>
      </w:r>
      <w:r>
        <w:rPr>
          <w:spacing w:val="-5"/>
        </w:rPr>
        <w:t xml:space="preserve"> </w:t>
      </w:r>
      <w:r>
        <w:t>the</w:t>
      </w:r>
      <w:r>
        <w:rPr>
          <w:spacing w:val="-6"/>
        </w:rPr>
        <w:t xml:space="preserve"> </w:t>
      </w:r>
      <w:r>
        <w:t>BA</w:t>
      </w:r>
      <w:r>
        <w:rPr>
          <w:spacing w:val="-7"/>
        </w:rPr>
        <w:t xml:space="preserve"> </w:t>
      </w:r>
      <w:r>
        <w:t>addressed</w:t>
      </w:r>
      <w:r>
        <w:rPr>
          <w:spacing w:val="-6"/>
        </w:rPr>
        <w:t xml:space="preserve"> </w:t>
      </w:r>
      <w:r>
        <w:t>in</w:t>
      </w:r>
      <w:r>
        <w:rPr>
          <w:spacing w:val="-6"/>
        </w:rPr>
        <w:t xml:space="preserve"> </w:t>
      </w:r>
      <w:r>
        <w:t>state</w:t>
      </w:r>
      <w:r>
        <w:rPr>
          <w:spacing w:val="-6"/>
        </w:rPr>
        <w:t xml:space="preserve"> </w:t>
      </w:r>
      <w:r>
        <w:rPr>
          <w:spacing w:val="-2"/>
        </w:rPr>
        <w:t>assessments?</w:t>
      </w:r>
    </w:p>
    <w:tbl>
      <w:tblPr>
        <w:tblStyle w:val="TableGrid"/>
        <w:tblW w:w="0" w:type="auto"/>
        <w:tblLook w:val="04A0" w:firstRow="1" w:lastRow="0" w:firstColumn="1" w:lastColumn="0" w:noHBand="0" w:noVBand="1"/>
      </w:tblPr>
      <w:tblGrid>
        <w:gridCol w:w="10342"/>
      </w:tblGrid>
      <w:tr w:rsidR="002A2154" w14:paraId="2DDAE9D7" w14:textId="77777777" w:rsidTr="002A2154">
        <w:tc>
          <w:tcPr>
            <w:tcW w:w="10568" w:type="dxa"/>
          </w:tcPr>
          <w:p w14:paraId="40378AF7" w14:textId="49EB82AC" w:rsidR="002A2154" w:rsidRPr="002A2154" w:rsidRDefault="002A2154" w:rsidP="003B297C">
            <w:pPr>
              <w:pStyle w:val="BodyText"/>
              <w:spacing w:before="72" w:line="480" w:lineRule="auto"/>
              <w:ind w:left="144" w:right="190"/>
            </w:pPr>
            <w:r>
              <w:rPr>
                <w:b/>
              </w:rPr>
              <w:t>Finding:</w:t>
            </w:r>
            <w:r>
              <w:rPr>
                <w:b/>
                <w:spacing w:val="-3"/>
              </w:rPr>
              <w:t xml:space="preserve"> </w:t>
            </w:r>
            <w:r>
              <w:t>State</w:t>
            </w:r>
            <w:r>
              <w:rPr>
                <w:spacing w:val="-4"/>
              </w:rPr>
              <w:t xml:space="preserve"> </w:t>
            </w:r>
            <w:r>
              <w:t>assessments</w:t>
            </w:r>
            <w:r>
              <w:rPr>
                <w:spacing w:val="-4"/>
              </w:rPr>
              <w:t xml:space="preserve"> </w:t>
            </w:r>
            <w:r>
              <w:t>are</w:t>
            </w:r>
            <w:r>
              <w:rPr>
                <w:spacing w:val="-4"/>
              </w:rPr>
              <w:t xml:space="preserve"> </w:t>
            </w:r>
            <w:r>
              <w:t>covering</w:t>
            </w:r>
            <w:r>
              <w:rPr>
                <w:spacing w:val="-4"/>
              </w:rPr>
              <w:t xml:space="preserve"> </w:t>
            </w:r>
            <w:r>
              <w:t>relevant</w:t>
            </w:r>
            <w:r>
              <w:rPr>
                <w:spacing w:val="-3"/>
              </w:rPr>
              <w:t xml:space="preserve"> </w:t>
            </w:r>
            <w:r>
              <w:t>MNES</w:t>
            </w:r>
            <w:r>
              <w:rPr>
                <w:spacing w:val="-3"/>
              </w:rPr>
              <w:t xml:space="preserve"> </w:t>
            </w:r>
            <w:r>
              <w:t>as</w:t>
            </w:r>
            <w:r>
              <w:rPr>
                <w:spacing w:val="-4"/>
              </w:rPr>
              <w:t xml:space="preserve"> </w:t>
            </w:r>
            <w:r>
              <w:t>required.</w:t>
            </w:r>
            <w:r>
              <w:rPr>
                <w:spacing w:val="-3"/>
              </w:rPr>
              <w:t xml:space="preserve"> </w:t>
            </w:r>
            <w:r>
              <w:t>The</w:t>
            </w:r>
            <w:r>
              <w:rPr>
                <w:spacing w:val="-3"/>
              </w:rPr>
              <w:t xml:space="preserve"> </w:t>
            </w:r>
            <w:r>
              <w:t>operation</w:t>
            </w:r>
            <w:r>
              <w:rPr>
                <w:spacing w:val="-4"/>
              </w:rPr>
              <w:t xml:space="preserve"> </w:t>
            </w:r>
            <w:r>
              <w:t>of</w:t>
            </w:r>
            <w:r>
              <w:rPr>
                <w:spacing w:val="-4"/>
              </w:rPr>
              <w:t xml:space="preserve"> </w:t>
            </w:r>
            <w:r>
              <w:t>the</w:t>
            </w:r>
            <w:r>
              <w:rPr>
                <w:spacing w:val="-4"/>
              </w:rPr>
              <w:t xml:space="preserve"> </w:t>
            </w:r>
            <w:r>
              <w:t>Agreement is consistent with Australia’s statutory requirements to ensure MNES are protected as required under the EPBC Act. Stakeholder consultation largely supported these findings.</w:t>
            </w:r>
          </w:p>
        </w:tc>
      </w:tr>
    </w:tbl>
    <w:p w14:paraId="44DDC97F" w14:textId="2394E31E" w:rsidR="00483D15" w:rsidRDefault="00000000" w:rsidP="003B297C">
      <w:pPr>
        <w:pStyle w:val="BodyText"/>
        <w:spacing w:line="480" w:lineRule="auto"/>
        <w:ind w:right="923"/>
      </w:pPr>
      <w:r>
        <w:t>The accumulated outcomes of projects assessed under the Agreement indicate how well state assessments</w:t>
      </w:r>
      <w:r>
        <w:rPr>
          <w:spacing w:val="-3"/>
        </w:rPr>
        <w:t xml:space="preserve"> </w:t>
      </w:r>
      <w:r>
        <w:t>address</w:t>
      </w:r>
      <w:r>
        <w:rPr>
          <w:spacing w:val="-3"/>
        </w:rPr>
        <w:t xml:space="preserve"> </w:t>
      </w:r>
      <w:r>
        <w:t>matters</w:t>
      </w:r>
      <w:r>
        <w:rPr>
          <w:spacing w:val="-3"/>
        </w:rPr>
        <w:t xml:space="preserve"> </w:t>
      </w:r>
      <w:r>
        <w:t>required</w:t>
      </w:r>
      <w:r>
        <w:rPr>
          <w:spacing w:val="-2"/>
        </w:rPr>
        <w:t xml:space="preserve"> </w:t>
      </w:r>
      <w:r>
        <w:t>by</w:t>
      </w:r>
      <w:r>
        <w:rPr>
          <w:spacing w:val="-3"/>
        </w:rPr>
        <w:t xml:space="preserve"> </w:t>
      </w:r>
      <w:r>
        <w:t>the</w:t>
      </w:r>
      <w:r>
        <w:rPr>
          <w:spacing w:val="-3"/>
        </w:rPr>
        <w:t xml:space="preserve"> </w:t>
      </w:r>
      <w:r>
        <w:t>Agreement.</w:t>
      </w:r>
      <w:r>
        <w:rPr>
          <w:spacing w:val="-3"/>
        </w:rPr>
        <w:t xml:space="preserve"> </w:t>
      </w:r>
      <w:r>
        <w:t>KPIs</w:t>
      </w:r>
      <w:r>
        <w:rPr>
          <w:spacing w:val="-3"/>
        </w:rPr>
        <w:t xml:space="preserve"> </w:t>
      </w:r>
      <w:r>
        <w:t>7, 8</w:t>
      </w:r>
      <w:r>
        <w:rPr>
          <w:spacing w:val="-3"/>
        </w:rPr>
        <w:t xml:space="preserve"> </w:t>
      </w:r>
      <w:r>
        <w:t>and</w:t>
      </w:r>
      <w:r>
        <w:rPr>
          <w:spacing w:val="-3"/>
        </w:rPr>
        <w:t xml:space="preserve"> </w:t>
      </w:r>
      <w:r>
        <w:t>9</w:t>
      </w:r>
      <w:r>
        <w:rPr>
          <w:spacing w:val="-2"/>
        </w:rPr>
        <w:t xml:space="preserve"> </w:t>
      </w:r>
      <w:r>
        <w:t>focus</w:t>
      </w:r>
      <w:r>
        <w:rPr>
          <w:spacing w:val="-1"/>
        </w:rPr>
        <w:t xml:space="preserve"> </w:t>
      </w:r>
      <w:r>
        <w:t>on</w:t>
      </w:r>
      <w:r>
        <w:rPr>
          <w:spacing w:val="-3"/>
        </w:rPr>
        <w:t xml:space="preserve"> </w:t>
      </w:r>
      <w:r>
        <w:t>outcomes,</w:t>
      </w:r>
      <w:r>
        <w:rPr>
          <w:spacing w:val="-3"/>
        </w:rPr>
        <w:t xml:space="preserve"> </w:t>
      </w:r>
      <w:r>
        <w:t>in</w:t>
      </w:r>
      <w:r>
        <w:rPr>
          <w:spacing w:val="-3"/>
        </w:rPr>
        <w:t xml:space="preserve"> </w:t>
      </w:r>
      <w:r>
        <w:t>terms</w:t>
      </w:r>
      <w:r>
        <w:rPr>
          <w:spacing w:val="-3"/>
        </w:rPr>
        <w:t xml:space="preserve"> </w:t>
      </w:r>
      <w:r>
        <w:t>of total offsets secured in the required timeframe, total area of MNES habitat impacted and total area secured in offsets. Evaluation of these KPIs for the sample of 21 projects has shown that:</w:t>
      </w:r>
    </w:p>
    <w:p w14:paraId="0B87E089" w14:textId="77777777" w:rsidR="00483D15" w:rsidRDefault="00000000">
      <w:pPr>
        <w:pStyle w:val="ListParagraph"/>
        <w:numPr>
          <w:ilvl w:val="0"/>
          <w:numId w:val="24"/>
        </w:numPr>
        <w:tabs>
          <w:tab w:val="left" w:pos="807"/>
        </w:tabs>
        <w:spacing w:before="119" w:line="357" w:lineRule="auto"/>
        <w:ind w:right="1272"/>
        <w:jc w:val="both"/>
      </w:pPr>
      <w:r>
        <w:t xml:space="preserve">A total of 2244ha of MNES habitat has been </w:t>
      </w:r>
      <w:proofErr w:type="gramStart"/>
      <w:r>
        <w:t>impacted .KPI</w:t>
      </w:r>
      <w:proofErr w:type="gramEnd"/>
      <w:r>
        <w:t xml:space="preserve"> 8 applies to 11 projects that have commenced</w:t>
      </w:r>
      <w:r>
        <w:rPr>
          <w:spacing w:val="-3"/>
        </w:rPr>
        <w:t xml:space="preserve"> </w:t>
      </w:r>
      <w:r>
        <w:t>development</w:t>
      </w:r>
      <w:r>
        <w:rPr>
          <w:spacing w:val="-3"/>
        </w:rPr>
        <w:t xml:space="preserve"> </w:t>
      </w:r>
      <w:r>
        <w:t>(2</w:t>
      </w:r>
      <w:r>
        <w:rPr>
          <w:spacing w:val="-4"/>
        </w:rPr>
        <w:t xml:space="preserve"> </w:t>
      </w:r>
      <w:r>
        <w:t>projects</w:t>
      </w:r>
      <w:r>
        <w:rPr>
          <w:spacing w:val="-2"/>
        </w:rPr>
        <w:t xml:space="preserve"> </w:t>
      </w:r>
      <w:r>
        <w:t>have</w:t>
      </w:r>
      <w:r>
        <w:rPr>
          <w:spacing w:val="-4"/>
        </w:rPr>
        <w:t xml:space="preserve"> </w:t>
      </w:r>
      <w:r>
        <w:t>been</w:t>
      </w:r>
      <w:r>
        <w:rPr>
          <w:spacing w:val="-3"/>
        </w:rPr>
        <w:t xml:space="preserve"> </w:t>
      </w:r>
      <w:r>
        <w:t>withdrawn,</w:t>
      </w:r>
      <w:r>
        <w:rPr>
          <w:spacing w:val="-4"/>
        </w:rPr>
        <w:t xml:space="preserve"> </w:t>
      </w:r>
      <w:r>
        <w:t>1</w:t>
      </w:r>
      <w:r>
        <w:rPr>
          <w:spacing w:val="-3"/>
        </w:rPr>
        <w:t xml:space="preserve"> </w:t>
      </w:r>
      <w:r>
        <w:t>has</w:t>
      </w:r>
      <w:r>
        <w:rPr>
          <w:spacing w:val="-4"/>
        </w:rPr>
        <w:t xml:space="preserve"> </w:t>
      </w:r>
      <w:r>
        <w:t>no</w:t>
      </w:r>
      <w:r>
        <w:rPr>
          <w:spacing w:val="-3"/>
        </w:rPr>
        <w:t xml:space="preserve"> </w:t>
      </w:r>
      <w:r>
        <w:t>habitat,</w:t>
      </w:r>
      <w:r>
        <w:rPr>
          <w:spacing w:val="-2"/>
        </w:rPr>
        <w:t xml:space="preserve"> </w:t>
      </w:r>
      <w:r>
        <w:t>7</w:t>
      </w:r>
      <w:r>
        <w:rPr>
          <w:spacing w:val="-4"/>
        </w:rPr>
        <w:t xml:space="preserve"> </w:t>
      </w:r>
      <w:r>
        <w:t>have</w:t>
      </w:r>
      <w:r>
        <w:rPr>
          <w:spacing w:val="-4"/>
        </w:rPr>
        <w:t xml:space="preserve"> </w:t>
      </w:r>
      <w:r>
        <w:t>not</w:t>
      </w:r>
      <w:r>
        <w:rPr>
          <w:spacing w:val="-3"/>
        </w:rPr>
        <w:t xml:space="preserve"> </w:t>
      </w:r>
      <w:r>
        <w:t xml:space="preserve">yet </w:t>
      </w:r>
      <w:r>
        <w:rPr>
          <w:spacing w:val="-2"/>
        </w:rPr>
        <w:t>commenced).</w:t>
      </w:r>
    </w:p>
    <w:p w14:paraId="76BDA19C" w14:textId="77777777" w:rsidR="00483D15" w:rsidRDefault="00000000">
      <w:pPr>
        <w:pStyle w:val="ListParagraph"/>
        <w:numPr>
          <w:ilvl w:val="0"/>
          <w:numId w:val="24"/>
        </w:numPr>
        <w:tabs>
          <w:tab w:val="left" w:pos="807"/>
        </w:tabs>
        <w:spacing w:before="128" w:line="357" w:lineRule="auto"/>
        <w:ind w:right="907"/>
      </w:pPr>
      <w:r>
        <w:t>A</w:t>
      </w:r>
      <w:r>
        <w:rPr>
          <w:spacing w:val="-3"/>
        </w:rPr>
        <w:t xml:space="preserve"> </w:t>
      </w:r>
      <w:r>
        <w:t>total</w:t>
      </w:r>
      <w:r>
        <w:rPr>
          <w:spacing w:val="-3"/>
        </w:rPr>
        <w:t xml:space="preserve"> </w:t>
      </w:r>
      <w:r>
        <w:t>of</w:t>
      </w:r>
      <w:r>
        <w:rPr>
          <w:spacing w:val="-3"/>
        </w:rPr>
        <w:t xml:space="preserve"> </w:t>
      </w:r>
      <w:r>
        <w:t>1259ha</w:t>
      </w:r>
      <w:r>
        <w:rPr>
          <w:spacing w:val="-3"/>
        </w:rPr>
        <w:t xml:space="preserve"> </w:t>
      </w:r>
      <w:r>
        <w:t>of</w:t>
      </w:r>
      <w:r>
        <w:rPr>
          <w:spacing w:val="-3"/>
        </w:rPr>
        <w:t xml:space="preserve"> </w:t>
      </w:r>
      <w:r>
        <w:t>offset</w:t>
      </w:r>
      <w:r>
        <w:rPr>
          <w:spacing w:val="-2"/>
        </w:rPr>
        <w:t xml:space="preserve"> </w:t>
      </w:r>
      <w:r>
        <w:t>habitat</w:t>
      </w:r>
      <w:r>
        <w:rPr>
          <w:spacing w:val="-2"/>
        </w:rPr>
        <w:t xml:space="preserve"> </w:t>
      </w:r>
      <w:r>
        <w:t>and</w:t>
      </w:r>
      <w:r>
        <w:rPr>
          <w:spacing w:val="-3"/>
        </w:rPr>
        <w:t xml:space="preserve"> </w:t>
      </w:r>
      <w:r>
        <w:t>230</w:t>
      </w:r>
      <w:r>
        <w:rPr>
          <w:spacing w:val="-3"/>
        </w:rPr>
        <w:t xml:space="preserve"> </w:t>
      </w:r>
      <w:r>
        <w:t>credits</w:t>
      </w:r>
      <w:r>
        <w:rPr>
          <w:spacing w:val="-3"/>
        </w:rPr>
        <w:t xml:space="preserve"> </w:t>
      </w:r>
      <w:r>
        <w:t>(equivalent</w:t>
      </w:r>
      <w:r>
        <w:rPr>
          <w:spacing w:val="-2"/>
        </w:rPr>
        <w:t xml:space="preserve"> </w:t>
      </w:r>
      <w:r>
        <w:t>ha)</w:t>
      </w:r>
      <w:r>
        <w:rPr>
          <w:spacing w:val="-2"/>
        </w:rPr>
        <w:t xml:space="preserve"> </w:t>
      </w:r>
      <w:r>
        <w:t>have</w:t>
      </w:r>
      <w:r>
        <w:rPr>
          <w:spacing w:val="-3"/>
        </w:rPr>
        <w:t xml:space="preserve"> </w:t>
      </w:r>
      <w:r>
        <w:t>been</w:t>
      </w:r>
      <w:r>
        <w:rPr>
          <w:spacing w:val="-2"/>
        </w:rPr>
        <w:t xml:space="preserve"> </w:t>
      </w:r>
      <w:r>
        <w:t>secured</w:t>
      </w:r>
      <w:r>
        <w:rPr>
          <w:spacing w:val="-3"/>
        </w:rPr>
        <w:t xml:space="preserve"> </w:t>
      </w:r>
      <w:r>
        <w:t>so</w:t>
      </w:r>
      <w:r>
        <w:rPr>
          <w:spacing w:val="-2"/>
        </w:rPr>
        <w:t xml:space="preserve"> </w:t>
      </w:r>
      <w:r>
        <w:t>far</w:t>
      </w:r>
      <w:r>
        <w:rPr>
          <w:spacing w:val="-3"/>
        </w:rPr>
        <w:t xml:space="preserve"> </w:t>
      </w:r>
      <w:r>
        <w:t>from 4 approvals (KPI 9).</w:t>
      </w:r>
    </w:p>
    <w:p w14:paraId="63EDE690" w14:textId="77777777" w:rsidR="00483D15" w:rsidRDefault="00000000">
      <w:pPr>
        <w:pStyle w:val="ListParagraph"/>
        <w:numPr>
          <w:ilvl w:val="0"/>
          <w:numId w:val="24"/>
        </w:numPr>
        <w:tabs>
          <w:tab w:val="left" w:pos="807"/>
        </w:tabs>
        <w:spacing w:before="125" w:line="357" w:lineRule="auto"/>
        <w:ind w:right="1293"/>
      </w:pPr>
      <w:r>
        <w:t>All</w:t>
      </w:r>
      <w:r>
        <w:rPr>
          <w:spacing w:val="-3"/>
        </w:rPr>
        <w:t xml:space="preserve"> </w:t>
      </w:r>
      <w:r>
        <w:t>projects</w:t>
      </w:r>
      <w:r>
        <w:rPr>
          <w:spacing w:val="-3"/>
        </w:rPr>
        <w:t xml:space="preserve"> </w:t>
      </w:r>
      <w:r>
        <w:t>are</w:t>
      </w:r>
      <w:r>
        <w:rPr>
          <w:spacing w:val="-3"/>
        </w:rPr>
        <w:t xml:space="preserve"> </w:t>
      </w:r>
      <w:r>
        <w:t>within</w:t>
      </w:r>
      <w:r>
        <w:rPr>
          <w:spacing w:val="-2"/>
        </w:rPr>
        <w:t xml:space="preserve"> </w:t>
      </w:r>
      <w:r>
        <w:t>the</w:t>
      </w:r>
      <w:r>
        <w:rPr>
          <w:spacing w:val="-2"/>
        </w:rPr>
        <w:t xml:space="preserve"> </w:t>
      </w:r>
      <w:r>
        <w:t>timeframe</w:t>
      </w:r>
      <w:r>
        <w:rPr>
          <w:spacing w:val="-2"/>
        </w:rPr>
        <w:t xml:space="preserve"> </w:t>
      </w:r>
      <w:r>
        <w:t>to</w:t>
      </w:r>
      <w:r>
        <w:rPr>
          <w:spacing w:val="-2"/>
        </w:rPr>
        <w:t xml:space="preserve"> </w:t>
      </w:r>
      <w:r>
        <w:t>secure</w:t>
      </w:r>
      <w:r>
        <w:rPr>
          <w:spacing w:val="-2"/>
        </w:rPr>
        <w:t xml:space="preserve"> </w:t>
      </w:r>
      <w:r>
        <w:t>offsets,</w:t>
      </w:r>
      <w:r>
        <w:rPr>
          <w:spacing w:val="-3"/>
        </w:rPr>
        <w:t xml:space="preserve"> </w:t>
      </w:r>
      <w:r>
        <w:t>or</w:t>
      </w:r>
      <w:r>
        <w:rPr>
          <w:spacing w:val="-3"/>
        </w:rPr>
        <w:t xml:space="preserve"> </w:t>
      </w:r>
      <w:r>
        <w:t>have</w:t>
      </w:r>
      <w:r>
        <w:rPr>
          <w:spacing w:val="-3"/>
        </w:rPr>
        <w:t xml:space="preserve"> </w:t>
      </w:r>
      <w:r>
        <w:t>already</w:t>
      </w:r>
      <w:r>
        <w:rPr>
          <w:spacing w:val="-3"/>
        </w:rPr>
        <w:t xml:space="preserve"> </w:t>
      </w:r>
      <w:r>
        <w:t>secured</w:t>
      </w:r>
      <w:r>
        <w:rPr>
          <w:spacing w:val="-2"/>
        </w:rPr>
        <w:t xml:space="preserve"> </w:t>
      </w:r>
      <w:r>
        <w:t>the</w:t>
      </w:r>
      <w:r>
        <w:rPr>
          <w:spacing w:val="-2"/>
        </w:rPr>
        <w:t xml:space="preserve"> </w:t>
      </w:r>
      <w:r>
        <w:t xml:space="preserve">required </w:t>
      </w:r>
      <w:r>
        <w:rPr>
          <w:spacing w:val="-2"/>
        </w:rPr>
        <w:t>offsets:</w:t>
      </w:r>
    </w:p>
    <w:p w14:paraId="38B31D1F" w14:textId="77777777" w:rsidR="00483D15" w:rsidRDefault="00000000">
      <w:pPr>
        <w:pStyle w:val="ListParagraph"/>
        <w:numPr>
          <w:ilvl w:val="1"/>
          <w:numId w:val="24"/>
        </w:numPr>
        <w:tabs>
          <w:tab w:val="left" w:pos="1526"/>
        </w:tabs>
        <w:spacing w:before="126" w:line="355" w:lineRule="auto"/>
        <w:ind w:right="919"/>
      </w:pPr>
      <w:r>
        <w:t>18</w:t>
      </w:r>
      <w:r>
        <w:rPr>
          <w:spacing w:val="-4"/>
        </w:rPr>
        <w:t xml:space="preserve"> </w:t>
      </w:r>
      <w:r>
        <w:t>%</w:t>
      </w:r>
      <w:r>
        <w:rPr>
          <w:spacing w:val="-4"/>
        </w:rPr>
        <w:t xml:space="preserve"> </w:t>
      </w:r>
      <w:r>
        <w:t>(2/11)</w:t>
      </w:r>
      <w:r>
        <w:rPr>
          <w:spacing w:val="-3"/>
        </w:rPr>
        <w:t xml:space="preserve"> </w:t>
      </w:r>
      <w:r>
        <w:t>projects</w:t>
      </w:r>
      <w:r>
        <w:rPr>
          <w:spacing w:val="-4"/>
        </w:rPr>
        <w:t xml:space="preserve"> </w:t>
      </w:r>
      <w:r>
        <w:t>have</w:t>
      </w:r>
      <w:r>
        <w:rPr>
          <w:spacing w:val="-4"/>
        </w:rPr>
        <w:t xml:space="preserve"> </w:t>
      </w:r>
      <w:r>
        <w:t>secured</w:t>
      </w:r>
      <w:r>
        <w:rPr>
          <w:spacing w:val="-4"/>
        </w:rPr>
        <w:t xml:space="preserve"> </w:t>
      </w:r>
      <w:r>
        <w:t>the</w:t>
      </w:r>
      <w:r>
        <w:rPr>
          <w:spacing w:val="-4"/>
        </w:rPr>
        <w:t xml:space="preserve"> </w:t>
      </w:r>
      <w:r>
        <w:t>required</w:t>
      </w:r>
      <w:r>
        <w:rPr>
          <w:spacing w:val="-3"/>
        </w:rPr>
        <w:t xml:space="preserve"> </w:t>
      </w:r>
      <w:r>
        <w:t>offsets</w:t>
      </w:r>
      <w:r>
        <w:rPr>
          <w:spacing w:val="-4"/>
        </w:rPr>
        <w:t xml:space="preserve"> </w:t>
      </w:r>
      <w:r>
        <w:t>within</w:t>
      </w:r>
      <w:r>
        <w:rPr>
          <w:spacing w:val="-3"/>
        </w:rPr>
        <w:t xml:space="preserve"> </w:t>
      </w:r>
      <w:r>
        <w:t>the</w:t>
      </w:r>
      <w:r>
        <w:rPr>
          <w:spacing w:val="-3"/>
        </w:rPr>
        <w:t xml:space="preserve"> </w:t>
      </w:r>
      <w:r>
        <w:t>timeframe</w:t>
      </w:r>
      <w:r>
        <w:rPr>
          <w:spacing w:val="-3"/>
        </w:rPr>
        <w:t xml:space="preserve"> </w:t>
      </w:r>
      <w:r>
        <w:t>required</w:t>
      </w:r>
      <w:r>
        <w:rPr>
          <w:spacing w:val="-3"/>
        </w:rPr>
        <w:t xml:space="preserve"> </w:t>
      </w:r>
      <w:r>
        <w:t>by the approval; while the remaining 82% (9/11) projects are still within the timeframe to secure the required offsets (KPI 7)</w:t>
      </w:r>
    </w:p>
    <w:p w14:paraId="4A70FCF0" w14:textId="77777777" w:rsidR="00483D15" w:rsidRDefault="00000000">
      <w:pPr>
        <w:pStyle w:val="ListParagraph"/>
        <w:numPr>
          <w:ilvl w:val="1"/>
          <w:numId w:val="24"/>
        </w:numPr>
        <w:tabs>
          <w:tab w:val="left" w:pos="1525"/>
        </w:tabs>
        <w:spacing w:before="129"/>
        <w:ind w:left="1525" w:hanging="359"/>
      </w:pPr>
      <w:r>
        <w:t>27%</w:t>
      </w:r>
      <w:r>
        <w:rPr>
          <w:spacing w:val="-8"/>
        </w:rPr>
        <w:t xml:space="preserve"> </w:t>
      </w:r>
      <w:r>
        <w:t>(4/15)</w:t>
      </w:r>
      <w:r>
        <w:rPr>
          <w:spacing w:val="-7"/>
        </w:rPr>
        <w:t xml:space="preserve"> </w:t>
      </w:r>
      <w:r>
        <w:t>projects</w:t>
      </w:r>
      <w:r>
        <w:rPr>
          <w:spacing w:val="-8"/>
        </w:rPr>
        <w:t xml:space="preserve"> </w:t>
      </w:r>
      <w:r>
        <w:t>have</w:t>
      </w:r>
      <w:r>
        <w:rPr>
          <w:spacing w:val="-7"/>
        </w:rPr>
        <w:t xml:space="preserve"> </w:t>
      </w:r>
      <w:r>
        <w:t>secured</w:t>
      </w:r>
      <w:r>
        <w:rPr>
          <w:spacing w:val="-8"/>
        </w:rPr>
        <w:t xml:space="preserve"> </w:t>
      </w:r>
      <w:r>
        <w:t>a</w:t>
      </w:r>
      <w:r>
        <w:rPr>
          <w:spacing w:val="-6"/>
        </w:rPr>
        <w:t xml:space="preserve"> </w:t>
      </w:r>
      <w:r>
        <w:t>proportion</w:t>
      </w:r>
      <w:r>
        <w:rPr>
          <w:spacing w:val="-8"/>
        </w:rPr>
        <w:t xml:space="preserve"> </w:t>
      </w:r>
      <w:r>
        <w:t>of</w:t>
      </w:r>
      <w:r>
        <w:rPr>
          <w:spacing w:val="-7"/>
        </w:rPr>
        <w:t xml:space="preserve"> </w:t>
      </w:r>
      <w:r>
        <w:t>their</w:t>
      </w:r>
      <w:r>
        <w:rPr>
          <w:spacing w:val="-8"/>
        </w:rPr>
        <w:t xml:space="preserve"> </w:t>
      </w:r>
      <w:r>
        <w:t>habitat-based</w:t>
      </w:r>
      <w:r>
        <w:rPr>
          <w:spacing w:val="-8"/>
        </w:rPr>
        <w:t xml:space="preserve"> </w:t>
      </w:r>
      <w:r>
        <w:t>offsets</w:t>
      </w:r>
      <w:r>
        <w:rPr>
          <w:spacing w:val="-8"/>
        </w:rPr>
        <w:t xml:space="preserve"> </w:t>
      </w:r>
      <w:r>
        <w:t>(KPI</w:t>
      </w:r>
      <w:r>
        <w:rPr>
          <w:spacing w:val="-7"/>
        </w:rPr>
        <w:t xml:space="preserve"> </w:t>
      </w:r>
      <w:r>
        <w:rPr>
          <w:spacing w:val="-5"/>
        </w:rPr>
        <w:t>9).</w:t>
      </w:r>
    </w:p>
    <w:p w14:paraId="6BA45262" w14:textId="77777777" w:rsidR="00483D15" w:rsidRDefault="00483D15">
      <w:pPr>
        <w:pStyle w:val="ListParagraph"/>
        <w:sectPr w:rsidR="00483D15">
          <w:pgSz w:w="11910" w:h="16840"/>
          <w:pgMar w:top="1340" w:right="566" w:bottom="1200" w:left="992" w:header="0" w:footer="1000" w:gutter="0"/>
          <w:cols w:space="720"/>
        </w:sectPr>
      </w:pPr>
    </w:p>
    <w:p w14:paraId="19F97995" w14:textId="77777777" w:rsidR="00483D15" w:rsidRDefault="00000000">
      <w:pPr>
        <w:pStyle w:val="BodyText"/>
        <w:spacing w:before="25" w:line="360" w:lineRule="auto"/>
        <w:ind w:left="21" w:right="923"/>
      </w:pPr>
      <w:r>
        <w:lastRenderedPageBreak/>
        <w:t>KPIs</w:t>
      </w:r>
      <w:r>
        <w:rPr>
          <w:spacing w:val="-3"/>
        </w:rPr>
        <w:t xml:space="preserve"> </w:t>
      </w:r>
      <w:r>
        <w:t>2-5</w:t>
      </w:r>
      <w:r>
        <w:rPr>
          <w:spacing w:val="-4"/>
        </w:rPr>
        <w:t xml:space="preserve"> </w:t>
      </w:r>
      <w:r>
        <w:t>focus</w:t>
      </w:r>
      <w:r>
        <w:rPr>
          <w:spacing w:val="-4"/>
        </w:rPr>
        <w:t xml:space="preserve"> </w:t>
      </w:r>
      <w:r>
        <w:t>on</w:t>
      </w:r>
      <w:r>
        <w:rPr>
          <w:spacing w:val="-4"/>
        </w:rPr>
        <w:t xml:space="preserve"> </w:t>
      </w:r>
      <w:r>
        <w:t>whether</w:t>
      </w:r>
      <w:r>
        <w:rPr>
          <w:spacing w:val="-2"/>
        </w:rPr>
        <w:t xml:space="preserve"> </w:t>
      </w:r>
      <w:r>
        <w:t>state</w:t>
      </w:r>
      <w:r>
        <w:rPr>
          <w:spacing w:val="-4"/>
        </w:rPr>
        <w:t xml:space="preserve"> </w:t>
      </w:r>
      <w:r>
        <w:t>assessments</w:t>
      </w:r>
      <w:r>
        <w:rPr>
          <w:spacing w:val="-2"/>
        </w:rPr>
        <w:t xml:space="preserve"> </w:t>
      </w:r>
      <w:r>
        <w:t>adequately</w:t>
      </w:r>
      <w:r>
        <w:rPr>
          <w:spacing w:val="-4"/>
        </w:rPr>
        <w:t xml:space="preserve"> </w:t>
      </w:r>
      <w:r>
        <w:t>address</w:t>
      </w:r>
      <w:r>
        <w:rPr>
          <w:spacing w:val="-4"/>
        </w:rPr>
        <w:t xml:space="preserve"> </w:t>
      </w:r>
      <w:r>
        <w:t>EPBC</w:t>
      </w:r>
      <w:r>
        <w:rPr>
          <w:spacing w:val="-4"/>
        </w:rPr>
        <w:t xml:space="preserve"> </w:t>
      </w:r>
      <w:r>
        <w:t>matters</w:t>
      </w:r>
      <w:r>
        <w:rPr>
          <w:spacing w:val="-4"/>
        </w:rPr>
        <w:t xml:space="preserve"> </w:t>
      </w:r>
      <w:r>
        <w:t>required</w:t>
      </w:r>
      <w:r>
        <w:rPr>
          <w:spacing w:val="-3"/>
        </w:rPr>
        <w:t xml:space="preserve"> </w:t>
      </w:r>
      <w:r>
        <w:t>by</w:t>
      </w:r>
      <w:r>
        <w:rPr>
          <w:spacing w:val="-1"/>
        </w:rPr>
        <w:t xml:space="preserve"> </w:t>
      </w:r>
      <w:r>
        <w:t>the Agreement. Analysis of this KPI data has indicated that:</w:t>
      </w:r>
    </w:p>
    <w:p w14:paraId="12BA05E6" w14:textId="77777777" w:rsidR="00483D15" w:rsidRDefault="00000000">
      <w:pPr>
        <w:pStyle w:val="ListParagraph"/>
        <w:numPr>
          <w:ilvl w:val="0"/>
          <w:numId w:val="24"/>
        </w:numPr>
        <w:tabs>
          <w:tab w:val="left" w:pos="807"/>
        </w:tabs>
        <w:spacing w:before="119" w:line="357" w:lineRule="auto"/>
        <w:ind w:right="1005"/>
      </w:pPr>
      <w:r>
        <w:t>The Agreement is operating consistently to ensure MNES are protected as required under the EPBC</w:t>
      </w:r>
      <w:r>
        <w:rPr>
          <w:spacing w:val="-3"/>
        </w:rPr>
        <w:t xml:space="preserve"> </w:t>
      </w:r>
      <w:r>
        <w:t>Act.</w:t>
      </w:r>
      <w:r>
        <w:rPr>
          <w:spacing w:val="-3"/>
        </w:rPr>
        <w:t xml:space="preserve"> </w:t>
      </w:r>
      <w:r>
        <w:t>State</w:t>
      </w:r>
      <w:r>
        <w:rPr>
          <w:spacing w:val="-3"/>
        </w:rPr>
        <w:t xml:space="preserve"> </w:t>
      </w:r>
      <w:r>
        <w:t>assessments</w:t>
      </w:r>
      <w:r>
        <w:rPr>
          <w:spacing w:val="-3"/>
        </w:rPr>
        <w:t xml:space="preserve"> </w:t>
      </w:r>
      <w:r>
        <w:t>have</w:t>
      </w:r>
      <w:r>
        <w:rPr>
          <w:spacing w:val="-3"/>
        </w:rPr>
        <w:t xml:space="preserve"> </w:t>
      </w:r>
      <w:r>
        <w:t>explicitly</w:t>
      </w:r>
      <w:r>
        <w:rPr>
          <w:spacing w:val="-3"/>
        </w:rPr>
        <w:t xml:space="preserve"> </w:t>
      </w:r>
      <w:proofErr w:type="spellStart"/>
      <w:r>
        <w:t>analysed</w:t>
      </w:r>
      <w:proofErr w:type="spellEnd"/>
      <w:r>
        <w:rPr>
          <w:spacing w:val="-2"/>
        </w:rPr>
        <w:t xml:space="preserve"> </w:t>
      </w:r>
      <w:r>
        <w:t>and</w:t>
      </w:r>
      <w:r>
        <w:rPr>
          <w:spacing w:val="-3"/>
        </w:rPr>
        <w:t xml:space="preserve"> </w:t>
      </w:r>
      <w:r>
        <w:t>described</w:t>
      </w:r>
      <w:r>
        <w:rPr>
          <w:spacing w:val="-3"/>
        </w:rPr>
        <w:t xml:space="preserve"> </w:t>
      </w:r>
      <w:r>
        <w:t>the</w:t>
      </w:r>
      <w:r>
        <w:rPr>
          <w:spacing w:val="-3"/>
        </w:rPr>
        <w:t xml:space="preserve"> </w:t>
      </w:r>
      <w:r>
        <w:t>likely</w:t>
      </w:r>
      <w:r>
        <w:rPr>
          <w:spacing w:val="-3"/>
        </w:rPr>
        <w:t xml:space="preserve"> </w:t>
      </w:r>
      <w:r>
        <w:t>impacts</w:t>
      </w:r>
      <w:r>
        <w:rPr>
          <w:spacing w:val="-3"/>
        </w:rPr>
        <w:t xml:space="preserve"> </w:t>
      </w:r>
      <w:r>
        <w:t>on</w:t>
      </w:r>
      <w:r>
        <w:rPr>
          <w:spacing w:val="-3"/>
        </w:rPr>
        <w:t xml:space="preserve"> </w:t>
      </w:r>
      <w:r>
        <w:t>MNES, including identifying the significance of residual adverse impacts and the consistency of the proposed action with relevant policies and guidelines relating to those MNES (KPI 2a 2d, 2e).</w:t>
      </w:r>
    </w:p>
    <w:p w14:paraId="058107F3" w14:textId="77777777" w:rsidR="00483D15" w:rsidRDefault="00000000">
      <w:pPr>
        <w:pStyle w:val="ListParagraph"/>
        <w:numPr>
          <w:ilvl w:val="0"/>
          <w:numId w:val="24"/>
        </w:numPr>
        <w:tabs>
          <w:tab w:val="left" w:pos="807"/>
        </w:tabs>
        <w:spacing w:before="131" w:line="355" w:lineRule="auto"/>
        <w:ind w:right="1993"/>
      </w:pPr>
      <w:r>
        <w:t>State</w:t>
      </w:r>
      <w:r>
        <w:rPr>
          <w:spacing w:val="-4"/>
        </w:rPr>
        <w:t xml:space="preserve"> </w:t>
      </w:r>
      <w:r>
        <w:t>assessments</w:t>
      </w:r>
      <w:r>
        <w:rPr>
          <w:spacing w:val="-3"/>
        </w:rPr>
        <w:t xml:space="preserve"> </w:t>
      </w:r>
      <w:r>
        <w:t>have</w:t>
      </w:r>
      <w:r>
        <w:rPr>
          <w:spacing w:val="-5"/>
        </w:rPr>
        <w:t xml:space="preserve"> </w:t>
      </w:r>
      <w:r>
        <w:t>adequately</w:t>
      </w:r>
      <w:r>
        <w:rPr>
          <w:spacing w:val="-5"/>
        </w:rPr>
        <w:t xml:space="preserve"> </w:t>
      </w:r>
      <w:r>
        <w:t>assessed</w:t>
      </w:r>
      <w:r>
        <w:rPr>
          <w:spacing w:val="-5"/>
        </w:rPr>
        <w:t xml:space="preserve"> </w:t>
      </w:r>
      <w:r>
        <w:t>MNES,</w:t>
      </w:r>
      <w:r>
        <w:rPr>
          <w:spacing w:val="-2"/>
        </w:rPr>
        <w:t xml:space="preserve"> </w:t>
      </w:r>
      <w:r>
        <w:t>and</w:t>
      </w:r>
      <w:r>
        <w:rPr>
          <w:spacing w:val="-5"/>
        </w:rPr>
        <w:t xml:space="preserve"> </w:t>
      </w:r>
      <w:r>
        <w:t>have</w:t>
      </w:r>
      <w:r>
        <w:rPr>
          <w:spacing w:val="-4"/>
        </w:rPr>
        <w:t xml:space="preserve"> </w:t>
      </w:r>
      <w:proofErr w:type="gramStart"/>
      <w:r>
        <w:t>given</w:t>
      </w:r>
      <w:r>
        <w:rPr>
          <w:spacing w:val="-5"/>
        </w:rPr>
        <w:t xml:space="preserve"> </w:t>
      </w:r>
      <w:r>
        <w:t>consideration</w:t>
      </w:r>
      <w:r>
        <w:rPr>
          <w:spacing w:val="-5"/>
        </w:rPr>
        <w:t xml:space="preserve"> </w:t>
      </w:r>
      <w:r>
        <w:t>to</w:t>
      </w:r>
      <w:proofErr w:type="gramEnd"/>
      <w:r>
        <w:t xml:space="preserve"> conservation advice, Recovery Plans, and Threat Abatement Plans.</w:t>
      </w:r>
    </w:p>
    <w:p w14:paraId="421A9C04" w14:textId="77777777" w:rsidR="00483D15" w:rsidRDefault="00000000">
      <w:pPr>
        <w:pStyle w:val="ListParagraph"/>
        <w:numPr>
          <w:ilvl w:val="0"/>
          <w:numId w:val="24"/>
        </w:numPr>
        <w:tabs>
          <w:tab w:val="left" w:pos="807"/>
        </w:tabs>
        <w:spacing w:before="130" w:line="355" w:lineRule="auto"/>
        <w:ind w:right="1260"/>
      </w:pPr>
      <w:r>
        <w:t>67%</w:t>
      </w:r>
      <w:r>
        <w:rPr>
          <w:spacing w:val="-3"/>
        </w:rPr>
        <w:t xml:space="preserve"> </w:t>
      </w:r>
      <w:r>
        <w:t>(8/12)</w:t>
      </w:r>
      <w:r>
        <w:rPr>
          <w:spacing w:val="-2"/>
        </w:rPr>
        <w:t xml:space="preserve"> </w:t>
      </w:r>
      <w:r>
        <w:t>of</w:t>
      </w:r>
      <w:r>
        <w:rPr>
          <w:spacing w:val="-4"/>
        </w:rPr>
        <w:t xml:space="preserve"> </w:t>
      </w:r>
      <w:r>
        <w:t>the</w:t>
      </w:r>
      <w:r>
        <w:rPr>
          <w:spacing w:val="-2"/>
        </w:rPr>
        <w:t xml:space="preserve"> </w:t>
      </w:r>
      <w:r>
        <w:t>projects</w:t>
      </w:r>
      <w:r>
        <w:rPr>
          <w:spacing w:val="-1"/>
        </w:rPr>
        <w:t xml:space="preserve"> </w:t>
      </w:r>
      <w:r>
        <w:t>provided</w:t>
      </w:r>
      <w:r>
        <w:rPr>
          <w:spacing w:val="-2"/>
        </w:rPr>
        <w:t xml:space="preserve"> </w:t>
      </w:r>
      <w:r>
        <w:t>comments</w:t>
      </w:r>
      <w:r>
        <w:rPr>
          <w:spacing w:val="-3"/>
        </w:rPr>
        <w:t xml:space="preserve"> </w:t>
      </w:r>
      <w:r>
        <w:t>on</w:t>
      </w:r>
      <w:r>
        <w:rPr>
          <w:spacing w:val="-2"/>
        </w:rPr>
        <w:t xml:space="preserve"> </w:t>
      </w:r>
      <w:r>
        <w:t>the</w:t>
      </w:r>
      <w:r>
        <w:rPr>
          <w:spacing w:val="-2"/>
        </w:rPr>
        <w:t xml:space="preserve"> </w:t>
      </w:r>
      <w:r>
        <w:t>effectiveness</w:t>
      </w:r>
      <w:r>
        <w:rPr>
          <w:spacing w:val="-3"/>
        </w:rPr>
        <w:t xml:space="preserve"> </w:t>
      </w:r>
      <w:r>
        <w:t>of</w:t>
      </w:r>
      <w:r>
        <w:rPr>
          <w:spacing w:val="-3"/>
        </w:rPr>
        <w:t xml:space="preserve"> </w:t>
      </w:r>
      <w:r>
        <w:t>the</w:t>
      </w:r>
      <w:r>
        <w:rPr>
          <w:spacing w:val="-2"/>
        </w:rPr>
        <w:t xml:space="preserve"> </w:t>
      </w:r>
      <w:r>
        <w:t>steps</w:t>
      </w:r>
      <w:r>
        <w:rPr>
          <w:spacing w:val="-3"/>
        </w:rPr>
        <w:t xml:space="preserve"> </w:t>
      </w:r>
      <w:r>
        <w:t>proposed</w:t>
      </w:r>
      <w:r>
        <w:rPr>
          <w:spacing w:val="-3"/>
        </w:rPr>
        <w:t xml:space="preserve"> </w:t>
      </w:r>
      <w:r>
        <w:t xml:space="preserve">to avoid and/or mitigate impacts </w:t>
      </w:r>
      <w:proofErr w:type="gramStart"/>
      <w:r>
        <w:t>to</w:t>
      </w:r>
      <w:proofErr w:type="gramEnd"/>
      <w:r>
        <w:t xml:space="preserve"> MNES (KPI 2).</w:t>
      </w:r>
    </w:p>
    <w:p w14:paraId="11E01BC6" w14:textId="77777777" w:rsidR="00483D15" w:rsidRDefault="00000000">
      <w:pPr>
        <w:pStyle w:val="BodyText"/>
        <w:spacing w:before="131" w:line="360" w:lineRule="auto"/>
        <w:ind w:left="21" w:right="918"/>
      </w:pPr>
      <w:r>
        <w:t>Stakeholder consultation within DPIE and DAWE, including staff responsible for Australian government assessments, confirmed that state assessments provide enough detail for the Commonwealth decision-maker</w:t>
      </w:r>
      <w:r>
        <w:rPr>
          <w:spacing w:val="-3"/>
        </w:rPr>
        <w:t xml:space="preserve"> </w:t>
      </w:r>
      <w:r>
        <w:t>to</w:t>
      </w:r>
      <w:r>
        <w:rPr>
          <w:spacing w:val="-3"/>
        </w:rPr>
        <w:t xml:space="preserve"> </w:t>
      </w:r>
      <w:r>
        <w:t>make</w:t>
      </w:r>
      <w:r>
        <w:rPr>
          <w:spacing w:val="-4"/>
        </w:rPr>
        <w:t xml:space="preserve"> </w:t>
      </w:r>
      <w:r>
        <w:t>informed</w:t>
      </w:r>
      <w:r>
        <w:rPr>
          <w:spacing w:val="-3"/>
        </w:rPr>
        <w:t xml:space="preserve"> </w:t>
      </w:r>
      <w:r>
        <w:t>decisions,</w:t>
      </w:r>
      <w:r>
        <w:rPr>
          <w:spacing w:val="-4"/>
        </w:rPr>
        <w:t xml:space="preserve"> </w:t>
      </w:r>
      <w:r>
        <w:t>including</w:t>
      </w:r>
      <w:r>
        <w:rPr>
          <w:spacing w:val="-3"/>
        </w:rPr>
        <w:t xml:space="preserve"> </w:t>
      </w:r>
      <w:r>
        <w:t>where</w:t>
      </w:r>
      <w:r>
        <w:rPr>
          <w:spacing w:val="-3"/>
        </w:rPr>
        <w:t xml:space="preserve"> </w:t>
      </w:r>
      <w:r>
        <w:t>further</w:t>
      </w:r>
      <w:r>
        <w:rPr>
          <w:spacing w:val="-3"/>
        </w:rPr>
        <w:t xml:space="preserve"> </w:t>
      </w:r>
      <w:r>
        <w:t>consultation</w:t>
      </w:r>
      <w:r>
        <w:rPr>
          <w:spacing w:val="-3"/>
        </w:rPr>
        <w:t xml:space="preserve"> </w:t>
      </w:r>
      <w:r>
        <w:t>between</w:t>
      </w:r>
      <w:r>
        <w:rPr>
          <w:spacing w:val="-4"/>
        </w:rPr>
        <w:t xml:space="preserve"> </w:t>
      </w:r>
      <w:r>
        <w:t>DPIE</w:t>
      </w:r>
      <w:r>
        <w:rPr>
          <w:spacing w:val="-3"/>
        </w:rPr>
        <w:t xml:space="preserve"> </w:t>
      </w:r>
      <w:r>
        <w:t>and</w:t>
      </w:r>
      <w:r>
        <w:rPr>
          <w:spacing w:val="-2"/>
        </w:rPr>
        <w:t xml:space="preserve"> </w:t>
      </w:r>
      <w:r>
        <w:t>DAWE</w:t>
      </w:r>
      <w:r>
        <w:rPr>
          <w:spacing w:val="-4"/>
        </w:rPr>
        <w:t xml:space="preserve"> </w:t>
      </w:r>
      <w:r>
        <w:t xml:space="preserve">occurs to clarify issues. Stakeholders </w:t>
      </w:r>
      <w:proofErr w:type="spellStart"/>
      <w:r>
        <w:t>emphasised</w:t>
      </w:r>
      <w:proofErr w:type="spellEnd"/>
      <w:r>
        <w:t xml:space="preserve"> that the strong relationship between DPIE and DAWE is a significant contributor to the effectiveness of state assessments, including access to experts within both </w:t>
      </w:r>
      <w:r>
        <w:rPr>
          <w:spacing w:val="-2"/>
        </w:rPr>
        <w:t>governments.</w:t>
      </w:r>
    </w:p>
    <w:p w14:paraId="5D9637FF" w14:textId="77777777" w:rsidR="00483D15" w:rsidRDefault="00483D15">
      <w:pPr>
        <w:pStyle w:val="BodyText"/>
      </w:pPr>
    </w:p>
    <w:p w14:paraId="66EF0CE6" w14:textId="77777777" w:rsidR="00483D15" w:rsidRDefault="00483D15">
      <w:pPr>
        <w:pStyle w:val="BodyText"/>
        <w:spacing w:before="106"/>
      </w:pPr>
    </w:p>
    <w:p w14:paraId="7BCEB688" w14:textId="77777777" w:rsidR="00483D15" w:rsidRDefault="00000000">
      <w:pPr>
        <w:pStyle w:val="Heading4"/>
        <w:spacing w:line="360" w:lineRule="auto"/>
        <w:ind w:left="21" w:right="1131"/>
      </w:pPr>
      <w:r>
        <w:t>Question</w:t>
      </w:r>
      <w:r>
        <w:rPr>
          <w:spacing w:val="-3"/>
        </w:rPr>
        <w:t xml:space="preserve"> </w:t>
      </w:r>
      <w:r>
        <w:t>2:</w:t>
      </w:r>
      <w:r>
        <w:rPr>
          <w:spacing w:val="-3"/>
        </w:rPr>
        <w:t xml:space="preserve"> </w:t>
      </w:r>
      <w:r>
        <w:t>How</w:t>
      </w:r>
      <w:r>
        <w:rPr>
          <w:spacing w:val="-3"/>
        </w:rPr>
        <w:t xml:space="preserve"> </w:t>
      </w:r>
      <w:r>
        <w:t>effective</w:t>
      </w:r>
      <w:r>
        <w:rPr>
          <w:spacing w:val="-4"/>
        </w:rPr>
        <w:t xml:space="preserve"> </w:t>
      </w:r>
      <w:r>
        <w:t>is</w:t>
      </w:r>
      <w:r>
        <w:rPr>
          <w:spacing w:val="-3"/>
        </w:rPr>
        <w:t xml:space="preserve"> </w:t>
      </w:r>
      <w:r>
        <w:t>the</w:t>
      </w:r>
      <w:r>
        <w:rPr>
          <w:spacing w:val="-4"/>
        </w:rPr>
        <w:t xml:space="preserve"> </w:t>
      </w:r>
      <w:r>
        <w:t>Commonwealth’s</w:t>
      </w:r>
      <w:r>
        <w:rPr>
          <w:spacing w:val="-3"/>
        </w:rPr>
        <w:t xml:space="preserve"> </w:t>
      </w:r>
      <w:r>
        <w:t>endorsement</w:t>
      </w:r>
      <w:r>
        <w:rPr>
          <w:spacing w:val="-3"/>
        </w:rPr>
        <w:t xml:space="preserve"> </w:t>
      </w:r>
      <w:r>
        <w:t>of</w:t>
      </w:r>
      <w:r>
        <w:rPr>
          <w:spacing w:val="-4"/>
        </w:rPr>
        <w:t xml:space="preserve"> </w:t>
      </w:r>
      <w:r>
        <w:t>NSW</w:t>
      </w:r>
      <w:r>
        <w:rPr>
          <w:spacing w:val="-3"/>
        </w:rPr>
        <w:t xml:space="preserve"> </w:t>
      </w:r>
      <w:r>
        <w:t>offset</w:t>
      </w:r>
      <w:r>
        <w:rPr>
          <w:spacing w:val="-3"/>
        </w:rPr>
        <w:t xml:space="preserve"> </w:t>
      </w:r>
      <w:r>
        <w:t>approaches</w:t>
      </w:r>
      <w:r>
        <w:rPr>
          <w:spacing w:val="-4"/>
        </w:rPr>
        <w:t xml:space="preserve"> </w:t>
      </w:r>
      <w:r>
        <w:t>to</w:t>
      </w:r>
      <w:r>
        <w:rPr>
          <w:spacing w:val="-4"/>
        </w:rPr>
        <w:t xml:space="preserve"> </w:t>
      </w:r>
      <w:r>
        <w:t xml:space="preserve">ensure long-term environmental outcomes for relevant matters of national environmental significance </w:t>
      </w:r>
      <w:r>
        <w:rPr>
          <w:spacing w:val="-2"/>
        </w:rPr>
        <w:t>(MNES)?</w:t>
      </w:r>
    </w:p>
    <w:tbl>
      <w:tblPr>
        <w:tblStyle w:val="TableGrid"/>
        <w:tblW w:w="0" w:type="auto"/>
        <w:tblLook w:val="04A0" w:firstRow="1" w:lastRow="0" w:firstColumn="1" w:lastColumn="0" w:noHBand="0" w:noVBand="1"/>
      </w:tblPr>
      <w:tblGrid>
        <w:gridCol w:w="10067"/>
      </w:tblGrid>
      <w:tr w:rsidR="003B297C" w14:paraId="5AB3D23D" w14:textId="77777777" w:rsidTr="003B297C">
        <w:trPr>
          <w:trHeight w:val="1239"/>
        </w:trPr>
        <w:tc>
          <w:tcPr>
            <w:tcW w:w="10067" w:type="dxa"/>
          </w:tcPr>
          <w:p w14:paraId="2D741E1C" w14:textId="5ED566E6" w:rsidR="003B297C" w:rsidRPr="003B297C" w:rsidRDefault="003B297C" w:rsidP="003B297C">
            <w:pPr>
              <w:pStyle w:val="BodyText"/>
              <w:spacing w:before="72" w:line="360" w:lineRule="auto"/>
              <w:ind w:left="143" w:right="412"/>
            </w:pPr>
            <w:r>
              <w:rPr>
                <w:b/>
              </w:rPr>
              <w:t>Finding:</w:t>
            </w:r>
            <w:r>
              <w:rPr>
                <w:b/>
                <w:spacing w:val="-3"/>
              </w:rPr>
              <w:t xml:space="preserve"> </w:t>
            </w:r>
            <w:r>
              <w:t>State</w:t>
            </w:r>
            <w:r>
              <w:rPr>
                <w:spacing w:val="-4"/>
              </w:rPr>
              <w:t xml:space="preserve"> </w:t>
            </w:r>
            <w:r>
              <w:t>assessments</w:t>
            </w:r>
            <w:r>
              <w:rPr>
                <w:spacing w:val="-4"/>
              </w:rPr>
              <w:t xml:space="preserve"> </w:t>
            </w:r>
            <w:r>
              <w:t>are</w:t>
            </w:r>
            <w:r>
              <w:rPr>
                <w:spacing w:val="-4"/>
              </w:rPr>
              <w:t xml:space="preserve"> </w:t>
            </w:r>
            <w:r>
              <w:t>addressing</w:t>
            </w:r>
            <w:r>
              <w:rPr>
                <w:spacing w:val="-3"/>
              </w:rPr>
              <w:t xml:space="preserve"> </w:t>
            </w:r>
            <w:r>
              <w:t>EPBC</w:t>
            </w:r>
            <w:r>
              <w:rPr>
                <w:spacing w:val="-4"/>
              </w:rPr>
              <w:t xml:space="preserve"> </w:t>
            </w:r>
            <w:r>
              <w:t>matters.</w:t>
            </w:r>
            <w:r>
              <w:rPr>
                <w:spacing w:val="-4"/>
              </w:rPr>
              <w:t xml:space="preserve"> </w:t>
            </w:r>
            <w:r>
              <w:t>Input</w:t>
            </w:r>
            <w:r>
              <w:rPr>
                <w:spacing w:val="-3"/>
              </w:rPr>
              <w:t xml:space="preserve"> </w:t>
            </w:r>
            <w:r>
              <w:t>from</w:t>
            </w:r>
            <w:r>
              <w:rPr>
                <w:spacing w:val="-4"/>
              </w:rPr>
              <w:t xml:space="preserve"> </w:t>
            </w:r>
            <w:r>
              <w:t>internal</w:t>
            </w:r>
            <w:r>
              <w:rPr>
                <w:spacing w:val="-4"/>
              </w:rPr>
              <w:t xml:space="preserve"> </w:t>
            </w:r>
            <w:r>
              <w:t>and</w:t>
            </w:r>
            <w:r>
              <w:rPr>
                <w:spacing w:val="-4"/>
              </w:rPr>
              <w:t xml:space="preserve"> </w:t>
            </w:r>
            <w:r>
              <w:t>external</w:t>
            </w:r>
            <w:r>
              <w:rPr>
                <w:spacing w:val="-3"/>
              </w:rPr>
              <w:t xml:space="preserve"> </w:t>
            </w:r>
            <w:r>
              <w:t xml:space="preserve">stakeholders also </w:t>
            </w:r>
            <w:proofErr w:type="gramStart"/>
            <w:r>
              <w:t>indicate</w:t>
            </w:r>
            <w:proofErr w:type="gramEnd"/>
            <w:r>
              <w:t xml:space="preserve"> that NSW offset approaches are likely to be contributing to ensuring environmental outcomes for MNES.</w:t>
            </w:r>
          </w:p>
        </w:tc>
      </w:tr>
    </w:tbl>
    <w:p w14:paraId="443D7D96" w14:textId="46B35803" w:rsidR="00483D15" w:rsidRDefault="00483D15">
      <w:pPr>
        <w:pStyle w:val="BodyText"/>
        <w:spacing w:before="4"/>
        <w:rPr>
          <w:b/>
          <w:sz w:val="7"/>
        </w:rPr>
      </w:pPr>
    </w:p>
    <w:p w14:paraId="0607B8D7" w14:textId="77777777" w:rsidR="00483D15" w:rsidRDefault="00000000">
      <w:pPr>
        <w:pStyle w:val="BodyText"/>
        <w:spacing w:before="170" w:line="360" w:lineRule="auto"/>
        <w:ind w:left="21" w:right="994"/>
        <w:jc w:val="both"/>
      </w:pPr>
      <w:r>
        <w:t>A</w:t>
      </w:r>
      <w:r>
        <w:rPr>
          <w:spacing w:val="-3"/>
        </w:rPr>
        <w:t xml:space="preserve"> </w:t>
      </w:r>
      <w:r>
        <w:t>total</w:t>
      </w:r>
      <w:r>
        <w:rPr>
          <w:spacing w:val="-3"/>
        </w:rPr>
        <w:t xml:space="preserve"> </w:t>
      </w:r>
      <w:r>
        <w:t>of</w:t>
      </w:r>
      <w:r>
        <w:rPr>
          <w:spacing w:val="-3"/>
        </w:rPr>
        <w:t xml:space="preserve"> </w:t>
      </w:r>
      <w:r>
        <w:t>2244ha</w:t>
      </w:r>
      <w:r>
        <w:rPr>
          <w:spacing w:val="-3"/>
        </w:rPr>
        <w:t xml:space="preserve"> </w:t>
      </w:r>
      <w:r>
        <w:t>of</w:t>
      </w:r>
      <w:r>
        <w:rPr>
          <w:spacing w:val="-3"/>
        </w:rPr>
        <w:t xml:space="preserve"> </w:t>
      </w:r>
      <w:r>
        <w:t>MNES</w:t>
      </w:r>
      <w:r>
        <w:rPr>
          <w:spacing w:val="-1"/>
        </w:rPr>
        <w:t xml:space="preserve"> </w:t>
      </w:r>
      <w:r>
        <w:t>habitat</w:t>
      </w:r>
      <w:r>
        <w:rPr>
          <w:spacing w:val="-2"/>
        </w:rPr>
        <w:t xml:space="preserve"> </w:t>
      </w:r>
      <w:r>
        <w:t>has</w:t>
      </w:r>
      <w:r>
        <w:rPr>
          <w:spacing w:val="-3"/>
        </w:rPr>
        <w:t xml:space="preserve"> </w:t>
      </w:r>
      <w:r>
        <w:t>been</w:t>
      </w:r>
      <w:r>
        <w:rPr>
          <w:spacing w:val="-3"/>
        </w:rPr>
        <w:t xml:space="preserve"> </w:t>
      </w:r>
      <w:r>
        <w:t>impacted</w:t>
      </w:r>
      <w:r>
        <w:rPr>
          <w:spacing w:val="-1"/>
        </w:rPr>
        <w:t xml:space="preserve"> </w:t>
      </w:r>
      <w:r>
        <w:t>across</w:t>
      </w:r>
      <w:r>
        <w:rPr>
          <w:spacing w:val="-3"/>
        </w:rPr>
        <w:t xml:space="preserve"> </w:t>
      </w:r>
      <w:r>
        <w:t>11</w:t>
      </w:r>
      <w:r>
        <w:rPr>
          <w:spacing w:val="-3"/>
        </w:rPr>
        <w:t xml:space="preserve"> </w:t>
      </w:r>
      <w:r>
        <w:t>projects</w:t>
      </w:r>
      <w:r>
        <w:rPr>
          <w:spacing w:val="-2"/>
        </w:rPr>
        <w:t xml:space="preserve"> </w:t>
      </w:r>
      <w:r>
        <w:t>(reviewed</w:t>
      </w:r>
      <w:r>
        <w:rPr>
          <w:spacing w:val="-3"/>
        </w:rPr>
        <w:t xml:space="preserve"> </w:t>
      </w:r>
      <w:r>
        <w:t>against</w:t>
      </w:r>
      <w:r>
        <w:rPr>
          <w:spacing w:val="-1"/>
        </w:rPr>
        <w:t xml:space="preserve"> </w:t>
      </w:r>
      <w:r>
        <w:t>KPI</w:t>
      </w:r>
      <w:r>
        <w:rPr>
          <w:spacing w:val="-3"/>
        </w:rPr>
        <w:t xml:space="preserve"> </w:t>
      </w:r>
      <w:r>
        <w:t>8).</w:t>
      </w:r>
      <w:r>
        <w:rPr>
          <w:spacing w:val="-3"/>
        </w:rPr>
        <w:t xml:space="preserve"> </w:t>
      </w:r>
      <w:r>
        <w:t>So</w:t>
      </w:r>
      <w:r>
        <w:rPr>
          <w:spacing w:val="-2"/>
        </w:rPr>
        <w:t xml:space="preserve"> </w:t>
      </w:r>
      <w:r>
        <w:t>far, a</w:t>
      </w:r>
      <w:r>
        <w:rPr>
          <w:spacing w:val="-2"/>
        </w:rPr>
        <w:t xml:space="preserve"> </w:t>
      </w:r>
      <w:r>
        <w:t>total</w:t>
      </w:r>
      <w:r>
        <w:rPr>
          <w:spacing w:val="-2"/>
        </w:rPr>
        <w:t xml:space="preserve"> </w:t>
      </w:r>
      <w:r>
        <w:t>of</w:t>
      </w:r>
      <w:r>
        <w:rPr>
          <w:spacing w:val="-2"/>
        </w:rPr>
        <w:t xml:space="preserve"> </w:t>
      </w:r>
      <w:r>
        <w:t>1259ha</w:t>
      </w:r>
      <w:r>
        <w:rPr>
          <w:spacing w:val="-2"/>
        </w:rPr>
        <w:t xml:space="preserve"> </w:t>
      </w:r>
      <w:r>
        <w:t>of</w:t>
      </w:r>
      <w:r>
        <w:rPr>
          <w:spacing w:val="-2"/>
        </w:rPr>
        <w:t xml:space="preserve"> </w:t>
      </w:r>
      <w:r>
        <w:t>habitat</w:t>
      </w:r>
      <w:r>
        <w:rPr>
          <w:spacing w:val="-2"/>
        </w:rPr>
        <w:t xml:space="preserve"> </w:t>
      </w:r>
      <w:r>
        <w:t>and</w:t>
      </w:r>
      <w:r>
        <w:rPr>
          <w:spacing w:val="-1"/>
        </w:rPr>
        <w:t xml:space="preserve"> </w:t>
      </w:r>
      <w:r>
        <w:t>230</w:t>
      </w:r>
      <w:r>
        <w:rPr>
          <w:spacing w:val="-2"/>
        </w:rPr>
        <w:t xml:space="preserve"> </w:t>
      </w:r>
      <w:r>
        <w:t>credits</w:t>
      </w:r>
      <w:r>
        <w:rPr>
          <w:spacing w:val="-2"/>
        </w:rPr>
        <w:t xml:space="preserve"> </w:t>
      </w:r>
      <w:r>
        <w:t>(equivalent</w:t>
      </w:r>
      <w:r>
        <w:rPr>
          <w:spacing w:val="-2"/>
        </w:rPr>
        <w:t xml:space="preserve"> </w:t>
      </w:r>
      <w:r>
        <w:t>ha) have</w:t>
      </w:r>
      <w:r>
        <w:rPr>
          <w:spacing w:val="-2"/>
        </w:rPr>
        <w:t xml:space="preserve"> </w:t>
      </w:r>
      <w:r>
        <w:t>been</w:t>
      </w:r>
      <w:r>
        <w:rPr>
          <w:spacing w:val="-2"/>
        </w:rPr>
        <w:t xml:space="preserve"> </w:t>
      </w:r>
      <w:r>
        <w:t>secured, in</w:t>
      </w:r>
      <w:r>
        <w:rPr>
          <w:spacing w:val="-2"/>
        </w:rPr>
        <w:t xml:space="preserve"> </w:t>
      </w:r>
      <w:r>
        <w:t>4 projects</w:t>
      </w:r>
      <w:r>
        <w:rPr>
          <w:spacing w:val="-1"/>
        </w:rPr>
        <w:t xml:space="preserve"> </w:t>
      </w:r>
      <w:r>
        <w:t>(KPI</w:t>
      </w:r>
      <w:r>
        <w:rPr>
          <w:spacing w:val="-2"/>
        </w:rPr>
        <w:t xml:space="preserve"> </w:t>
      </w:r>
      <w:r>
        <w:t>9).</w:t>
      </w:r>
      <w:r>
        <w:rPr>
          <w:spacing w:val="-2"/>
        </w:rPr>
        <w:t xml:space="preserve"> </w:t>
      </w:r>
      <w:r>
        <w:t>Two projects have secured the required offsets within their timeframe (KPI 7).</w:t>
      </w:r>
    </w:p>
    <w:p w14:paraId="714ABF4F" w14:textId="77777777" w:rsidR="00483D15" w:rsidRDefault="00000000">
      <w:pPr>
        <w:pStyle w:val="BodyText"/>
        <w:spacing w:before="120" w:line="360" w:lineRule="auto"/>
        <w:ind w:left="21" w:right="923"/>
      </w:pPr>
      <w:r>
        <w:t>All relevant projects identified the total area of MNES habitat that had been impacted, with 92% of projects</w:t>
      </w:r>
      <w:r>
        <w:rPr>
          <w:spacing w:val="-4"/>
        </w:rPr>
        <w:t xml:space="preserve"> </w:t>
      </w:r>
      <w:r>
        <w:t>(12/13</w:t>
      </w:r>
      <w:r>
        <w:rPr>
          <w:spacing w:val="-3"/>
        </w:rPr>
        <w:t xml:space="preserve"> </w:t>
      </w:r>
      <w:r>
        <w:t>reviewed</w:t>
      </w:r>
      <w:r>
        <w:rPr>
          <w:spacing w:val="-2"/>
        </w:rPr>
        <w:t xml:space="preserve"> </w:t>
      </w:r>
      <w:r>
        <w:t>against</w:t>
      </w:r>
      <w:r>
        <w:rPr>
          <w:spacing w:val="-4"/>
        </w:rPr>
        <w:t xml:space="preserve"> </w:t>
      </w:r>
      <w:r>
        <w:t>KPI</w:t>
      </w:r>
      <w:r>
        <w:rPr>
          <w:spacing w:val="-4"/>
        </w:rPr>
        <w:t xml:space="preserve"> </w:t>
      </w:r>
      <w:r>
        <w:t>4)</w:t>
      </w:r>
      <w:r>
        <w:rPr>
          <w:spacing w:val="-2"/>
        </w:rPr>
        <w:t xml:space="preserve"> </w:t>
      </w:r>
      <w:r>
        <w:t>providing</w:t>
      </w:r>
      <w:r>
        <w:rPr>
          <w:spacing w:val="-3"/>
        </w:rPr>
        <w:t xml:space="preserve"> </w:t>
      </w:r>
      <w:r>
        <w:t>the</w:t>
      </w:r>
      <w:r>
        <w:rPr>
          <w:spacing w:val="-4"/>
        </w:rPr>
        <w:t xml:space="preserve"> </w:t>
      </w:r>
      <w:r>
        <w:t>Australian</w:t>
      </w:r>
      <w:r>
        <w:rPr>
          <w:spacing w:val="-2"/>
        </w:rPr>
        <w:t xml:space="preserve"> </w:t>
      </w:r>
      <w:r>
        <w:t>Government</w:t>
      </w:r>
      <w:r>
        <w:rPr>
          <w:spacing w:val="-3"/>
        </w:rPr>
        <w:t xml:space="preserve"> </w:t>
      </w:r>
      <w:r>
        <w:t>with</w:t>
      </w:r>
      <w:r>
        <w:rPr>
          <w:spacing w:val="-4"/>
        </w:rPr>
        <w:t xml:space="preserve"> </w:t>
      </w:r>
      <w:r>
        <w:t>information</w:t>
      </w:r>
      <w:r>
        <w:rPr>
          <w:spacing w:val="-4"/>
        </w:rPr>
        <w:t xml:space="preserve"> </w:t>
      </w:r>
      <w:r>
        <w:t>on</w:t>
      </w:r>
      <w:r>
        <w:rPr>
          <w:spacing w:val="-4"/>
        </w:rPr>
        <w:t xml:space="preserve"> </w:t>
      </w:r>
      <w:r>
        <w:t>the methodology used to derive the offset, the nature of the offset and its location (where relevant). All</w:t>
      </w:r>
    </w:p>
    <w:p w14:paraId="5B9A242C" w14:textId="77777777" w:rsidR="00483D15" w:rsidRDefault="00483D15">
      <w:pPr>
        <w:pStyle w:val="BodyText"/>
        <w:spacing w:line="360" w:lineRule="auto"/>
        <w:sectPr w:rsidR="00483D15">
          <w:pgSz w:w="11910" w:h="16840"/>
          <w:pgMar w:top="1920" w:right="566" w:bottom="1200" w:left="992" w:header="0" w:footer="1000" w:gutter="0"/>
          <w:cols w:space="720"/>
        </w:sectPr>
      </w:pPr>
    </w:p>
    <w:p w14:paraId="436A8A2B" w14:textId="77777777" w:rsidR="00483D15" w:rsidRDefault="00000000">
      <w:pPr>
        <w:pStyle w:val="BodyText"/>
        <w:spacing w:before="42" w:line="360" w:lineRule="auto"/>
        <w:ind w:left="21" w:right="923"/>
      </w:pPr>
      <w:r>
        <w:lastRenderedPageBreak/>
        <w:t>projects</w:t>
      </w:r>
      <w:r>
        <w:rPr>
          <w:spacing w:val="-3"/>
        </w:rPr>
        <w:t xml:space="preserve"> </w:t>
      </w:r>
      <w:r>
        <w:t>were</w:t>
      </w:r>
      <w:r>
        <w:rPr>
          <w:spacing w:val="-2"/>
        </w:rPr>
        <w:t xml:space="preserve"> </w:t>
      </w:r>
      <w:r>
        <w:t>within</w:t>
      </w:r>
      <w:r>
        <w:rPr>
          <w:spacing w:val="-2"/>
        </w:rPr>
        <w:t xml:space="preserve"> </w:t>
      </w:r>
      <w:r>
        <w:t>the</w:t>
      </w:r>
      <w:r>
        <w:rPr>
          <w:spacing w:val="-2"/>
        </w:rPr>
        <w:t xml:space="preserve"> </w:t>
      </w:r>
      <w:r>
        <w:t>timeframe</w:t>
      </w:r>
      <w:r>
        <w:rPr>
          <w:spacing w:val="-2"/>
        </w:rPr>
        <w:t xml:space="preserve"> </w:t>
      </w:r>
      <w:r>
        <w:t>to</w:t>
      </w:r>
      <w:r>
        <w:rPr>
          <w:spacing w:val="-2"/>
        </w:rPr>
        <w:t xml:space="preserve"> </w:t>
      </w:r>
      <w:r>
        <w:t>secure</w:t>
      </w:r>
      <w:r>
        <w:rPr>
          <w:spacing w:val="-2"/>
        </w:rPr>
        <w:t xml:space="preserve"> </w:t>
      </w:r>
      <w:r>
        <w:t>offsets</w:t>
      </w:r>
      <w:r>
        <w:rPr>
          <w:spacing w:val="-1"/>
        </w:rPr>
        <w:t xml:space="preserve"> </w:t>
      </w:r>
      <w:r>
        <w:t>or</w:t>
      </w:r>
      <w:r>
        <w:rPr>
          <w:spacing w:val="-3"/>
        </w:rPr>
        <w:t xml:space="preserve"> </w:t>
      </w:r>
      <w:r>
        <w:t>have</w:t>
      </w:r>
      <w:r>
        <w:rPr>
          <w:spacing w:val="-3"/>
        </w:rPr>
        <w:t xml:space="preserve"> </w:t>
      </w:r>
      <w:r>
        <w:t>already</w:t>
      </w:r>
      <w:r>
        <w:rPr>
          <w:spacing w:val="-3"/>
        </w:rPr>
        <w:t xml:space="preserve"> </w:t>
      </w:r>
      <w:r>
        <w:t>secured</w:t>
      </w:r>
      <w:r>
        <w:rPr>
          <w:spacing w:val="-2"/>
        </w:rPr>
        <w:t xml:space="preserve"> </w:t>
      </w:r>
      <w:r>
        <w:t>the</w:t>
      </w:r>
      <w:r>
        <w:rPr>
          <w:spacing w:val="-3"/>
        </w:rPr>
        <w:t xml:space="preserve"> </w:t>
      </w:r>
      <w:r>
        <w:t>required</w:t>
      </w:r>
      <w:r>
        <w:rPr>
          <w:spacing w:val="-3"/>
        </w:rPr>
        <w:t xml:space="preserve"> </w:t>
      </w:r>
      <w:r>
        <w:t>offsets,</w:t>
      </w:r>
      <w:r>
        <w:rPr>
          <w:spacing w:val="-3"/>
        </w:rPr>
        <w:t xml:space="preserve"> </w:t>
      </w:r>
      <w:r>
        <w:t>with NSW and Australian Government offsets generally the same.</w:t>
      </w:r>
    </w:p>
    <w:p w14:paraId="694379D2" w14:textId="77777777" w:rsidR="00483D15" w:rsidRDefault="00000000">
      <w:pPr>
        <w:pStyle w:val="BodyText"/>
        <w:spacing w:before="119" w:line="360" w:lineRule="auto"/>
        <w:ind w:left="21" w:right="923"/>
      </w:pPr>
      <w:r>
        <w:t>Nearly</w:t>
      </w:r>
      <w:r>
        <w:rPr>
          <w:spacing w:val="-3"/>
        </w:rPr>
        <w:t xml:space="preserve"> </w:t>
      </w:r>
      <w:r>
        <w:t>half</w:t>
      </w:r>
      <w:r>
        <w:rPr>
          <w:spacing w:val="-3"/>
        </w:rPr>
        <w:t xml:space="preserve"> </w:t>
      </w:r>
      <w:r>
        <w:t>of</w:t>
      </w:r>
      <w:r>
        <w:rPr>
          <w:spacing w:val="-2"/>
        </w:rPr>
        <w:t xml:space="preserve"> </w:t>
      </w:r>
      <w:r>
        <w:t>all</w:t>
      </w:r>
      <w:r>
        <w:rPr>
          <w:spacing w:val="-3"/>
        </w:rPr>
        <w:t xml:space="preserve"> </w:t>
      </w:r>
      <w:r>
        <w:t>projects</w:t>
      </w:r>
      <w:r>
        <w:rPr>
          <w:spacing w:val="-3"/>
        </w:rPr>
        <w:t xml:space="preserve"> </w:t>
      </w:r>
      <w:r>
        <w:t>(6/13</w:t>
      </w:r>
      <w:r>
        <w:rPr>
          <w:spacing w:val="-2"/>
        </w:rPr>
        <w:t xml:space="preserve"> </w:t>
      </w:r>
      <w:r>
        <w:t>reviewed</w:t>
      </w:r>
      <w:r>
        <w:rPr>
          <w:spacing w:val="-3"/>
        </w:rPr>
        <w:t xml:space="preserve"> </w:t>
      </w:r>
      <w:r>
        <w:t>against</w:t>
      </w:r>
      <w:r>
        <w:rPr>
          <w:spacing w:val="-2"/>
        </w:rPr>
        <w:t xml:space="preserve"> </w:t>
      </w:r>
      <w:r>
        <w:t>KPI</w:t>
      </w:r>
      <w:r>
        <w:rPr>
          <w:spacing w:val="-2"/>
        </w:rPr>
        <w:t xml:space="preserve"> </w:t>
      </w:r>
      <w:r>
        <w:t>10)</w:t>
      </w:r>
      <w:r>
        <w:rPr>
          <w:spacing w:val="-2"/>
        </w:rPr>
        <w:t xml:space="preserve"> </w:t>
      </w:r>
      <w:r>
        <w:t>used</w:t>
      </w:r>
      <w:r>
        <w:rPr>
          <w:spacing w:val="-3"/>
        </w:rPr>
        <w:t xml:space="preserve"> </w:t>
      </w:r>
      <w:proofErr w:type="gramStart"/>
      <w:r>
        <w:t>non</w:t>
      </w:r>
      <w:r>
        <w:rPr>
          <w:spacing w:val="-1"/>
        </w:rPr>
        <w:t xml:space="preserve"> </w:t>
      </w:r>
      <w:r>
        <w:t>habitat</w:t>
      </w:r>
      <w:proofErr w:type="gramEnd"/>
      <w:r>
        <w:t>-based</w:t>
      </w:r>
      <w:r>
        <w:rPr>
          <w:spacing w:val="-3"/>
        </w:rPr>
        <w:t xml:space="preserve"> </w:t>
      </w:r>
      <w:r>
        <w:t>offsets,</w:t>
      </w:r>
      <w:r>
        <w:rPr>
          <w:spacing w:val="-3"/>
        </w:rPr>
        <w:t xml:space="preserve"> </w:t>
      </w:r>
      <w:r>
        <w:t>such</w:t>
      </w:r>
      <w:r>
        <w:rPr>
          <w:spacing w:val="-3"/>
        </w:rPr>
        <w:t xml:space="preserve"> </w:t>
      </w:r>
      <w:r>
        <w:t>as</w:t>
      </w:r>
      <w:r>
        <w:rPr>
          <w:spacing w:val="-3"/>
        </w:rPr>
        <w:t xml:space="preserve"> </w:t>
      </w:r>
      <w:r>
        <w:t>funding for research or educational programs, to meet a portion of their offset liability.</w:t>
      </w:r>
    </w:p>
    <w:p w14:paraId="5CA56433" w14:textId="77777777" w:rsidR="00483D15" w:rsidRDefault="00000000">
      <w:pPr>
        <w:pStyle w:val="BodyText"/>
        <w:spacing w:before="121" w:line="360" w:lineRule="auto"/>
        <w:ind w:left="21" w:right="1198"/>
      </w:pPr>
      <w:r>
        <w:t>There</w:t>
      </w:r>
      <w:r>
        <w:rPr>
          <w:spacing w:val="-3"/>
        </w:rPr>
        <w:t xml:space="preserve"> </w:t>
      </w:r>
      <w:r>
        <w:t>were</w:t>
      </w:r>
      <w:r>
        <w:rPr>
          <w:spacing w:val="-2"/>
        </w:rPr>
        <w:t xml:space="preserve"> </w:t>
      </w:r>
      <w:r>
        <w:t>no</w:t>
      </w:r>
      <w:r>
        <w:rPr>
          <w:spacing w:val="-2"/>
        </w:rPr>
        <w:t xml:space="preserve"> </w:t>
      </w:r>
      <w:r>
        <w:t>cases</w:t>
      </w:r>
      <w:r>
        <w:rPr>
          <w:spacing w:val="-3"/>
        </w:rPr>
        <w:t xml:space="preserve"> </w:t>
      </w:r>
      <w:r>
        <w:t>where</w:t>
      </w:r>
      <w:r>
        <w:rPr>
          <w:spacing w:val="-3"/>
        </w:rPr>
        <w:t xml:space="preserve"> </w:t>
      </w:r>
      <w:r>
        <w:t>offsetting</w:t>
      </w:r>
      <w:r>
        <w:rPr>
          <w:spacing w:val="-3"/>
        </w:rPr>
        <w:t xml:space="preserve"> </w:t>
      </w:r>
      <w:r>
        <w:t>impacts</w:t>
      </w:r>
      <w:r>
        <w:rPr>
          <w:spacing w:val="-3"/>
        </w:rPr>
        <w:t xml:space="preserve"> </w:t>
      </w:r>
      <w:r>
        <w:t>on</w:t>
      </w:r>
      <w:r>
        <w:rPr>
          <w:spacing w:val="-3"/>
        </w:rPr>
        <w:t xml:space="preserve"> </w:t>
      </w:r>
      <w:r>
        <w:t>MNES</w:t>
      </w:r>
      <w:r>
        <w:rPr>
          <w:spacing w:val="-2"/>
        </w:rPr>
        <w:t xml:space="preserve"> </w:t>
      </w:r>
      <w:r>
        <w:t>triggered</w:t>
      </w:r>
      <w:r>
        <w:rPr>
          <w:spacing w:val="-2"/>
        </w:rPr>
        <w:t xml:space="preserve"> </w:t>
      </w:r>
      <w:r>
        <w:t>a</w:t>
      </w:r>
      <w:r>
        <w:rPr>
          <w:spacing w:val="-3"/>
        </w:rPr>
        <w:t xml:space="preserve"> </w:t>
      </w:r>
      <w:r>
        <w:t>dispute</w:t>
      </w:r>
      <w:r>
        <w:rPr>
          <w:spacing w:val="-2"/>
        </w:rPr>
        <w:t xml:space="preserve"> </w:t>
      </w:r>
      <w:r>
        <w:t>between</w:t>
      </w:r>
      <w:r>
        <w:rPr>
          <w:spacing w:val="-3"/>
        </w:rPr>
        <w:t xml:space="preserve"> </w:t>
      </w:r>
      <w:r>
        <w:t>Parties</w:t>
      </w:r>
      <w:r>
        <w:rPr>
          <w:spacing w:val="-1"/>
        </w:rPr>
        <w:t xml:space="preserve"> </w:t>
      </w:r>
      <w:r>
        <w:t>that required escalation using the dispute resolution process laid out in the Agreement (KPI 6).</w:t>
      </w:r>
    </w:p>
    <w:p w14:paraId="5001DC7B" w14:textId="77777777" w:rsidR="00483D15" w:rsidRDefault="00000000">
      <w:pPr>
        <w:pStyle w:val="BodyText"/>
        <w:spacing w:before="120" w:line="360" w:lineRule="auto"/>
        <w:ind w:left="21" w:right="923"/>
      </w:pPr>
      <w:r>
        <w:t>Stakeholders broadly supported the effectiveness of NSW offset approaches in ensuring long-term environmental</w:t>
      </w:r>
      <w:r>
        <w:rPr>
          <w:spacing w:val="-3"/>
        </w:rPr>
        <w:t xml:space="preserve"> </w:t>
      </w:r>
      <w:r>
        <w:t>outcomes</w:t>
      </w:r>
      <w:r>
        <w:rPr>
          <w:spacing w:val="-3"/>
        </w:rPr>
        <w:t xml:space="preserve"> </w:t>
      </w:r>
      <w:r>
        <w:t>for</w:t>
      </w:r>
      <w:r>
        <w:rPr>
          <w:spacing w:val="-3"/>
        </w:rPr>
        <w:t xml:space="preserve"> </w:t>
      </w:r>
      <w:r>
        <w:t>MNES,</w:t>
      </w:r>
      <w:r>
        <w:rPr>
          <w:spacing w:val="-3"/>
        </w:rPr>
        <w:t xml:space="preserve"> </w:t>
      </w:r>
      <w:r>
        <w:t>allowing</w:t>
      </w:r>
      <w:r>
        <w:rPr>
          <w:spacing w:val="-3"/>
        </w:rPr>
        <w:t xml:space="preserve"> </w:t>
      </w:r>
      <w:r>
        <w:t>for</w:t>
      </w:r>
      <w:r>
        <w:rPr>
          <w:spacing w:val="-3"/>
        </w:rPr>
        <w:t xml:space="preserve"> </w:t>
      </w:r>
      <w:r>
        <w:t>an</w:t>
      </w:r>
      <w:r>
        <w:rPr>
          <w:spacing w:val="-2"/>
        </w:rPr>
        <w:t xml:space="preserve"> </w:t>
      </w:r>
      <w:r>
        <w:t>advanced</w:t>
      </w:r>
      <w:r>
        <w:rPr>
          <w:spacing w:val="-2"/>
        </w:rPr>
        <w:t xml:space="preserve"> </w:t>
      </w:r>
      <w:r>
        <w:t>and</w:t>
      </w:r>
      <w:r>
        <w:rPr>
          <w:spacing w:val="-1"/>
        </w:rPr>
        <w:t xml:space="preserve"> </w:t>
      </w:r>
      <w:r>
        <w:t>detailed</w:t>
      </w:r>
      <w:r>
        <w:rPr>
          <w:spacing w:val="-2"/>
        </w:rPr>
        <w:t xml:space="preserve"> </w:t>
      </w:r>
      <w:r>
        <w:t>method</w:t>
      </w:r>
      <w:r>
        <w:rPr>
          <w:spacing w:val="-3"/>
        </w:rPr>
        <w:t xml:space="preserve"> </w:t>
      </w:r>
      <w:r>
        <w:t>of</w:t>
      </w:r>
      <w:r>
        <w:rPr>
          <w:spacing w:val="-3"/>
        </w:rPr>
        <w:t xml:space="preserve"> </w:t>
      </w:r>
      <w:r>
        <w:t>protecting</w:t>
      </w:r>
      <w:r>
        <w:rPr>
          <w:spacing w:val="-2"/>
        </w:rPr>
        <w:t xml:space="preserve"> </w:t>
      </w:r>
      <w:r>
        <w:t>MNES, and the Australian Government’s endorsement of NSW offset approaches allowing greater flexibility to proponents to secure the required offsets.</w:t>
      </w:r>
    </w:p>
    <w:p w14:paraId="7274405C" w14:textId="77777777" w:rsidR="00483D15" w:rsidRDefault="00000000">
      <w:pPr>
        <w:pStyle w:val="BodyText"/>
        <w:spacing w:before="120" w:line="360" w:lineRule="auto"/>
        <w:ind w:left="21" w:right="923"/>
      </w:pPr>
      <w:r>
        <w:t>Stakeholders viewed the amended Agreement as positive, and some stakeholders also viewed the introduction of the Biodiversity Conservation Trust as positive. Most stakeholders agreed that matters required</w:t>
      </w:r>
      <w:r>
        <w:rPr>
          <w:spacing w:val="-2"/>
        </w:rPr>
        <w:t xml:space="preserve"> </w:t>
      </w:r>
      <w:r>
        <w:t>by</w:t>
      </w:r>
      <w:r>
        <w:rPr>
          <w:spacing w:val="-2"/>
        </w:rPr>
        <w:t xml:space="preserve"> </w:t>
      </w:r>
      <w:r>
        <w:t>the</w:t>
      </w:r>
      <w:r>
        <w:rPr>
          <w:spacing w:val="-3"/>
        </w:rPr>
        <w:t xml:space="preserve"> </w:t>
      </w:r>
      <w:r>
        <w:t>Agreement</w:t>
      </w:r>
      <w:r>
        <w:rPr>
          <w:spacing w:val="-3"/>
        </w:rPr>
        <w:t xml:space="preserve"> </w:t>
      </w:r>
      <w:r>
        <w:t>are</w:t>
      </w:r>
      <w:r>
        <w:rPr>
          <w:spacing w:val="-3"/>
        </w:rPr>
        <w:t xml:space="preserve"> </w:t>
      </w:r>
      <w:r>
        <w:t>addressed</w:t>
      </w:r>
      <w:r>
        <w:rPr>
          <w:spacing w:val="-3"/>
        </w:rPr>
        <w:t xml:space="preserve"> </w:t>
      </w:r>
      <w:r>
        <w:t>well</w:t>
      </w:r>
      <w:r>
        <w:rPr>
          <w:spacing w:val="-2"/>
        </w:rPr>
        <w:t xml:space="preserve"> </w:t>
      </w:r>
      <w:r>
        <w:t>in</w:t>
      </w:r>
      <w:r>
        <w:rPr>
          <w:spacing w:val="-2"/>
        </w:rPr>
        <w:t xml:space="preserve"> </w:t>
      </w:r>
      <w:r>
        <w:t>state</w:t>
      </w:r>
      <w:r>
        <w:rPr>
          <w:spacing w:val="-3"/>
        </w:rPr>
        <w:t xml:space="preserve"> </w:t>
      </w:r>
      <w:proofErr w:type="gramStart"/>
      <w:r>
        <w:t>assessments,</w:t>
      </w:r>
      <w:r>
        <w:rPr>
          <w:spacing w:val="-3"/>
        </w:rPr>
        <w:t xml:space="preserve"> </w:t>
      </w:r>
      <w:r>
        <w:t>and</w:t>
      </w:r>
      <w:proofErr w:type="gramEnd"/>
      <w:r>
        <w:rPr>
          <w:spacing w:val="-3"/>
        </w:rPr>
        <w:t xml:space="preserve"> </w:t>
      </w:r>
      <w:r>
        <w:t>strongly</w:t>
      </w:r>
      <w:r>
        <w:rPr>
          <w:spacing w:val="-3"/>
        </w:rPr>
        <w:t xml:space="preserve"> </w:t>
      </w:r>
      <w:r>
        <w:t>agreed</w:t>
      </w:r>
      <w:r>
        <w:rPr>
          <w:spacing w:val="-2"/>
        </w:rPr>
        <w:t xml:space="preserve"> </w:t>
      </w:r>
      <w:r>
        <w:t>that</w:t>
      </w:r>
      <w:r>
        <w:rPr>
          <w:spacing w:val="-3"/>
        </w:rPr>
        <w:t xml:space="preserve"> </w:t>
      </w:r>
      <w:r>
        <w:t>NSW</w:t>
      </w:r>
      <w:r>
        <w:rPr>
          <w:spacing w:val="-3"/>
        </w:rPr>
        <w:t xml:space="preserve"> </w:t>
      </w:r>
      <w:r>
        <w:t>offset approaches are effective at ensuring long-term environmental approaches and outcomes for MNES.</w:t>
      </w:r>
    </w:p>
    <w:p w14:paraId="70D5F5EA" w14:textId="77777777" w:rsidR="00483D15" w:rsidRDefault="00000000">
      <w:pPr>
        <w:pStyle w:val="BodyText"/>
        <w:spacing w:before="121" w:line="360" w:lineRule="auto"/>
        <w:ind w:left="21" w:right="923"/>
      </w:pPr>
      <w:r>
        <w:t>Given that so few offsets were secured during the period of the review, it is challenging to draw strong conclusions</w:t>
      </w:r>
      <w:r>
        <w:rPr>
          <w:spacing w:val="-4"/>
        </w:rPr>
        <w:t xml:space="preserve"> </w:t>
      </w:r>
      <w:r>
        <w:t>about</w:t>
      </w:r>
      <w:r>
        <w:rPr>
          <w:spacing w:val="-3"/>
        </w:rPr>
        <w:t xml:space="preserve"> </w:t>
      </w:r>
      <w:r>
        <w:t>the</w:t>
      </w:r>
      <w:r>
        <w:rPr>
          <w:spacing w:val="-3"/>
        </w:rPr>
        <w:t xml:space="preserve"> </w:t>
      </w:r>
      <w:r>
        <w:t>effectiveness</w:t>
      </w:r>
      <w:r>
        <w:rPr>
          <w:spacing w:val="-4"/>
        </w:rPr>
        <w:t xml:space="preserve"> </w:t>
      </w:r>
      <w:r>
        <w:t>of</w:t>
      </w:r>
      <w:r>
        <w:rPr>
          <w:spacing w:val="-4"/>
        </w:rPr>
        <w:t xml:space="preserve"> </w:t>
      </w:r>
      <w:r>
        <w:t>the</w:t>
      </w:r>
      <w:r>
        <w:rPr>
          <w:spacing w:val="-4"/>
        </w:rPr>
        <w:t xml:space="preserve"> </w:t>
      </w:r>
      <w:r>
        <w:t>endorsement</w:t>
      </w:r>
      <w:r>
        <w:rPr>
          <w:spacing w:val="-4"/>
        </w:rPr>
        <w:t xml:space="preserve"> </w:t>
      </w:r>
      <w:r>
        <w:t>of</w:t>
      </w:r>
      <w:r>
        <w:rPr>
          <w:spacing w:val="-3"/>
        </w:rPr>
        <w:t xml:space="preserve"> </w:t>
      </w:r>
      <w:r>
        <w:t>the</w:t>
      </w:r>
      <w:r>
        <w:rPr>
          <w:spacing w:val="-3"/>
        </w:rPr>
        <w:t xml:space="preserve"> </w:t>
      </w:r>
      <w:r>
        <w:t>NSW</w:t>
      </w:r>
      <w:r>
        <w:rPr>
          <w:spacing w:val="-4"/>
        </w:rPr>
        <w:t xml:space="preserve"> </w:t>
      </w:r>
      <w:r>
        <w:t>offset</w:t>
      </w:r>
      <w:r>
        <w:rPr>
          <w:spacing w:val="-4"/>
        </w:rPr>
        <w:t xml:space="preserve"> </w:t>
      </w:r>
      <w:r>
        <w:t>approaches.</w:t>
      </w:r>
      <w:r>
        <w:rPr>
          <w:spacing w:val="-3"/>
        </w:rPr>
        <w:t xml:space="preserve"> </w:t>
      </w:r>
      <w:r>
        <w:t>Additionally,</w:t>
      </w:r>
      <w:r>
        <w:rPr>
          <w:spacing w:val="-4"/>
        </w:rPr>
        <w:t xml:space="preserve"> </w:t>
      </w:r>
      <w:r>
        <w:t>the experience gained in implementing the Agreement over the 5 years since the KPIs were initially drafted has shown that a review of the KPIs would be useful to refine how data on the effectiveness of the Agreement is measured and evaluated, including on the effectiveness of the NSW offset approaches in ensuring outcomes for MNES. It is a recommendation of the review that the governments review the KPIs, so that subsequent reviews can provide a more comprehensive and accurate evaluation of the effectiveness of the endorsement of the NSW offset approaches.</w:t>
      </w:r>
    </w:p>
    <w:p w14:paraId="4D5CE645" w14:textId="77777777" w:rsidR="00483D15" w:rsidRDefault="00000000" w:rsidP="003B297C">
      <w:pPr>
        <w:pStyle w:val="Heading4"/>
        <w:spacing w:line="360" w:lineRule="auto"/>
        <w:ind w:left="21"/>
      </w:pPr>
      <w:r>
        <w:t>Question</w:t>
      </w:r>
      <w:r>
        <w:rPr>
          <w:spacing w:val="-8"/>
        </w:rPr>
        <w:t xml:space="preserve"> </w:t>
      </w:r>
      <w:r>
        <w:t>3:</w:t>
      </w:r>
      <w:r>
        <w:rPr>
          <w:spacing w:val="-8"/>
        </w:rPr>
        <w:t xml:space="preserve"> </w:t>
      </w:r>
      <w:r>
        <w:t>How</w:t>
      </w:r>
      <w:r>
        <w:rPr>
          <w:spacing w:val="-8"/>
        </w:rPr>
        <w:t xml:space="preserve"> </w:t>
      </w:r>
      <w:r>
        <w:t>effective</w:t>
      </w:r>
      <w:r>
        <w:rPr>
          <w:spacing w:val="-9"/>
        </w:rPr>
        <w:t xml:space="preserve"> </w:t>
      </w:r>
      <w:r>
        <w:t>is</w:t>
      </w:r>
      <w:r>
        <w:rPr>
          <w:spacing w:val="-7"/>
        </w:rPr>
        <w:t xml:space="preserve"> </w:t>
      </w:r>
      <w:r>
        <w:t>the</w:t>
      </w:r>
      <w:r>
        <w:rPr>
          <w:spacing w:val="-9"/>
        </w:rPr>
        <w:t xml:space="preserve"> </w:t>
      </w:r>
      <w:r>
        <w:t>Bilateral</w:t>
      </w:r>
      <w:r>
        <w:rPr>
          <w:spacing w:val="-8"/>
        </w:rPr>
        <w:t xml:space="preserve"> </w:t>
      </w:r>
      <w:r>
        <w:t>Agreement</w:t>
      </w:r>
      <w:r>
        <w:rPr>
          <w:spacing w:val="-8"/>
        </w:rPr>
        <w:t xml:space="preserve"> </w:t>
      </w:r>
      <w:r>
        <w:t>in</w:t>
      </w:r>
      <w:r>
        <w:rPr>
          <w:spacing w:val="-8"/>
        </w:rPr>
        <w:t xml:space="preserve"> </w:t>
      </w:r>
      <w:r>
        <w:t>reducing</w:t>
      </w:r>
      <w:r>
        <w:rPr>
          <w:spacing w:val="-8"/>
        </w:rPr>
        <w:t xml:space="preserve"> </w:t>
      </w:r>
      <w:r>
        <w:t>duplication</w:t>
      </w:r>
      <w:r>
        <w:rPr>
          <w:spacing w:val="-9"/>
        </w:rPr>
        <w:t xml:space="preserve"> </w:t>
      </w:r>
      <w:r>
        <w:t>in</w:t>
      </w:r>
      <w:r>
        <w:rPr>
          <w:spacing w:val="-8"/>
        </w:rPr>
        <w:t xml:space="preserve"> </w:t>
      </w:r>
      <w:r>
        <w:t>regulatory</w:t>
      </w:r>
      <w:r>
        <w:rPr>
          <w:spacing w:val="-8"/>
        </w:rPr>
        <w:t xml:space="preserve"> </w:t>
      </w:r>
      <w:r>
        <w:rPr>
          <w:spacing w:val="-2"/>
        </w:rPr>
        <w:t>processes?</w:t>
      </w:r>
    </w:p>
    <w:tbl>
      <w:tblPr>
        <w:tblStyle w:val="TableGrid"/>
        <w:tblW w:w="0" w:type="auto"/>
        <w:tblLook w:val="04A0" w:firstRow="1" w:lastRow="0" w:firstColumn="1" w:lastColumn="0" w:noHBand="0" w:noVBand="1"/>
      </w:tblPr>
      <w:tblGrid>
        <w:gridCol w:w="10342"/>
      </w:tblGrid>
      <w:tr w:rsidR="003B297C" w14:paraId="08A426CB" w14:textId="77777777" w:rsidTr="003B297C">
        <w:tc>
          <w:tcPr>
            <w:tcW w:w="10568" w:type="dxa"/>
          </w:tcPr>
          <w:p w14:paraId="3F7F1061" w14:textId="05495EDC" w:rsidR="003B297C" w:rsidRPr="003B297C" w:rsidRDefault="003B297C" w:rsidP="003B297C">
            <w:pPr>
              <w:pStyle w:val="BodyText"/>
              <w:spacing w:before="72" w:line="360" w:lineRule="auto"/>
              <w:ind w:left="144" w:right="161"/>
            </w:pPr>
            <w:r>
              <w:rPr>
                <w:b/>
              </w:rPr>
              <w:t xml:space="preserve">Finding: </w:t>
            </w:r>
            <w:r>
              <w:t xml:space="preserve">The operation of the Agreement has reduced duplication in regulatory processes. Stakeholders </w:t>
            </w:r>
            <w:proofErr w:type="spellStart"/>
            <w:r>
              <w:t>emphasised</w:t>
            </w:r>
            <w:proofErr w:type="spellEnd"/>
            <w:r>
              <w:rPr>
                <w:spacing w:val="-3"/>
              </w:rPr>
              <w:t xml:space="preserve"> </w:t>
            </w:r>
            <w:r>
              <w:t>that</w:t>
            </w:r>
            <w:r>
              <w:rPr>
                <w:spacing w:val="-4"/>
              </w:rPr>
              <w:t xml:space="preserve"> </w:t>
            </w:r>
            <w:r>
              <w:t>the</w:t>
            </w:r>
            <w:r>
              <w:rPr>
                <w:spacing w:val="-4"/>
              </w:rPr>
              <w:t xml:space="preserve"> </w:t>
            </w:r>
            <w:r>
              <w:t>success</w:t>
            </w:r>
            <w:r>
              <w:rPr>
                <w:spacing w:val="-4"/>
              </w:rPr>
              <w:t xml:space="preserve"> </w:t>
            </w:r>
            <w:r>
              <w:t>of</w:t>
            </w:r>
            <w:r>
              <w:rPr>
                <w:spacing w:val="-4"/>
              </w:rPr>
              <w:t xml:space="preserve"> </w:t>
            </w:r>
            <w:r>
              <w:t>the</w:t>
            </w:r>
            <w:r>
              <w:rPr>
                <w:spacing w:val="-4"/>
              </w:rPr>
              <w:t xml:space="preserve"> </w:t>
            </w:r>
            <w:r>
              <w:t>Agreement</w:t>
            </w:r>
            <w:r>
              <w:rPr>
                <w:spacing w:val="-3"/>
              </w:rPr>
              <w:t xml:space="preserve"> </w:t>
            </w:r>
            <w:r>
              <w:t>can</w:t>
            </w:r>
            <w:r>
              <w:rPr>
                <w:spacing w:val="-4"/>
              </w:rPr>
              <w:t xml:space="preserve"> </w:t>
            </w:r>
            <w:r>
              <w:t>be</w:t>
            </w:r>
            <w:r>
              <w:rPr>
                <w:spacing w:val="-3"/>
              </w:rPr>
              <w:t xml:space="preserve"> </w:t>
            </w:r>
            <w:r>
              <w:t>attributed</w:t>
            </w:r>
            <w:r>
              <w:rPr>
                <w:spacing w:val="-4"/>
              </w:rPr>
              <w:t xml:space="preserve"> </w:t>
            </w:r>
            <w:r>
              <w:t>to</w:t>
            </w:r>
            <w:r>
              <w:rPr>
                <w:spacing w:val="-2"/>
              </w:rPr>
              <w:t xml:space="preserve"> </w:t>
            </w:r>
            <w:r>
              <w:t>the</w:t>
            </w:r>
            <w:r>
              <w:rPr>
                <w:spacing w:val="-3"/>
              </w:rPr>
              <w:t xml:space="preserve"> </w:t>
            </w:r>
            <w:r>
              <w:t>strong</w:t>
            </w:r>
            <w:r>
              <w:rPr>
                <w:spacing w:val="-3"/>
              </w:rPr>
              <w:t xml:space="preserve"> </w:t>
            </w:r>
            <w:r>
              <w:t>relationships</w:t>
            </w:r>
            <w:r>
              <w:rPr>
                <w:spacing w:val="-4"/>
              </w:rPr>
              <w:t xml:space="preserve"> </w:t>
            </w:r>
            <w:r>
              <w:t>between</w:t>
            </w:r>
            <w:r>
              <w:rPr>
                <w:spacing w:val="-3"/>
              </w:rPr>
              <w:t xml:space="preserve"> </w:t>
            </w:r>
            <w:r>
              <w:t>DPIE</w:t>
            </w:r>
            <w:r>
              <w:rPr>
                <w:spacing w:val="-2"/>
              </w:rPr>
              <w:t xml:space="preserve"> </w:t>
            </w:r>
            <w:r>
              <w:t>and DAWE, and that the spirit of cooperation and consultation embedded in the aims of the Agreement has had a positive flow-on effect to other non-Bilateral projects and the interactions between DPIE and DAWE.</w:t>
            </w:r>
          </w:p>
        </w:tc>
      </w:tr>
    </w:tbl>
    <w:p w14:paraId="7FFAB250" w14:textId="6E9C9743" w:rsidR="00483D15" w:rsidRDefault="00483D15">
      <w:pPr>
        <w:pStyle w:val="BodyText"/>
        <w:spacing w:before="5"/>
        <w:rPr>
          <w:b/>
          <w:sz w:val="18"/>
        </w:rPr>
      </w:pPr>
    </w:p>
    <w:p w14:paraId="4F97B1AE" w14:textId="77777777" w:rsidR="00483D15" w:rsidRDefault="00483D15">
      <w:pPr>
        <w:pStyle w:val="BodyText"/>
        <w:spacing w:before="73"/>
        <w:rPr>
          <w:b/>
        </w:rPr>
      </w:pPr>
    </w:p>
    <w:p w14:paraId="09883B8D" w14:textId="77777777" w:rsidR="00483D15" w:rsidRDefault="00000000">
      <w:pPr>
        <w:pStyle w:val="BodyText"/>
        <w:spacing w:line="360" w:lineRule="auto"/>
        <w:ind w:left="21" w:right="923"/>
      </w:pPr>
      <w:r>
        <w:t>KPIs</w:t>
      </w:r>
      <w:r>
        <w:rPr>
          <w:spacing w:val="-3"/>
        </w:rPr>
        <w:t xml:space="preserve"> </w:t>
      </w:r>
      <w:r>
        <w:t>11-13</w:t>
      </w:r>
      <w:r>
        <w:rPr>
          <w:spacing w:val="-3"/>
        </w:rPr>
        <w:t xml:space="preserve"> </w:t>
      </w:r>
      <w:r>
        <w:t>can</w:t>
      </w:r>
      <w:r>
        <w:rPr>
          <w:spacing w:val="-3"/>
        </w:rPr>
        <w:t xml:space="preserve"> </w:t>
      </w:r>
      <w:r>
        <w:t>indicate</w:t>
      </w:r>
      <w:r>
        <w:rPr>
          <w:spacing w:val="-2"/>
        </w:rPr>
        <w:t xml:space="preserve"> </w:t>
      </w:r>
      <w:r>
        <w:t>how</w:t>
      </w:r>
      <w:r>
        <w:rPr>
          <w:spacing w:val="-3"/>
        </w:rPr>
        <w:t xml:space="preserve"> </w:t>
      </w:r>
      <w:r>
        <w:t>effective</w:t>
      </w:r>
      <w:r>
        <w:rPr>
          <w:spacing w:val="-2"/>
        </w:rPr>
        <w:t xml:space="preserve"> </w:t>
      </w:r>
      <w:r>
        <w:t>the</w:t>
      </w:r>
      <w:r>
        <w:rPr>
          <w:spacing w:val="-3"/>
        </w:rPr>
        <w:t xml:space="preserve"> </w:t>
      </w:r>
      <w:r>
        <w:t>Agreement</w:t>
      </w:r>
      <w:r>
        <w:rPr>
          <w:spacing w:val="-2"/>
        </w:rPr>
        <w:t xml:space="preserve"> </w:t>
      </w:r>
      <w:r>
        <w:t>is</w:t>
      </w:r>
      <w:r>
        <w:rPr>
          <w:spacing w:val="-3"/>
        </w:rPr>
        <w:t xml:space="preserve"> </w:t>
      </w:r>
      <w:r>
        <w:t>in</w:t>
      </w:r>
      <w:r>
        <w:rPr>
          <w:spacing w:val="-3"/>
        </w:rPr>
        <w:t xml:space="preserve"> </w:t>
      </w:r>
      <w:r>
        <w:t>reducing</w:t>
      </w:r>
      <w:r>
        <w:rPr>
          <w:spacing w:val="-2"/>
        </w:rPr>
        <w:t xml:space="preserve"> </w:t>
      </w:r>
      <w:r>
        <w:t>duplication</w:t>
      </w:r>
      <w:r>
        <w:rPr>
          <w:spacing w:val="-2"/>
        </w:rPr>
        <w:t xml:space="preserve"> </w:t>
      </w:r>
      <w:r>
        <w:t>in</w:t>
      </w:r>
      <w:r>
        <w:rPr>
          <w:spacing w:val="-3"/>
        </w:rPr>
        <w:t xml:space="preserve"> </w:t>
      </w:r>
      <w:r>
        <w:t>regulatory</w:t>
      </w:r>
      <w:r>
        <w:rPr>
          <w:spacing w:val="-2"/>
        </w:rPr>
        <w:t xml:space="preserve"> </w:t>
      </w:r>
      <w:r>
        <w:t>processes. These KPIs apply to 18 of the total 21 projects.</w:t>
      </w:r>
    </w:p>
    <w:p w14:paraId="4A6153CF" w14:textId="77777777" w:rsidR="00483D15" w:rsidRDefault="00483D15">
      <w:pPr>
        <w:pStyle w:val="BodyText"/>
        <w:spacing w:line="360" w:lineRule="auto"/>
        <w:sectPr w:rsidR="00483D15">
          <w:pgSz w:w="11910" w:h="16840"/>
          <w:pgMar w:top="1380" w:right="566" w:bottom="1200" w:left="992" w:header="0" w:footer="1000" w:gutter="0"/>
          <w:cols w:space="720"/>
        </w:sectPr>
      </w:pPr>
    </w:p>
    <w:p w14:paraId="12D8FFE6" w14:textId="77777777" w:rsidR="00483D15" w:rsidRDefault="00000000">
      <w:pPr>
        <w:pStyle w:val="BodyText"/>
        <w:spacing w:before="42" w:line="360" w:lineRule="auto"/>
        <w:ind w:left="21" w:right="876"/>
      </w:pPr>
      <w:r>
        <w:lastRenderedPageBreak/>
        <w:t>A</w:t>
      </w:r>
      <w:r>
        <w:rPr>
          <w:spacing w:val="-3"/>
        </w:rPr>
        <w:t xml:space="preserve"> </w:t>
      </w:r>
      <w:r>
        <w:t>measure</w:t>
      </w:r>
      <w:r>
        <w:rPr>
          <w:spacing w:val="-2"/>
        </w:rPr>
        <w:t xml:space="preserve"> </w:t>
      </w:r>
      <w:r>
        <w:t>of</w:t>
      </w:r>
      <w:r>
        <w:rPr>
          <w:spacing w:val="-3"/>
        </w:rPr>
        <w:t xml:space="preserve"> </w:t>
      </w:r>
      <w:r>
        <w:t>an</w:t>
      </w:r>
      <w:r>
        <w:rPr>
          <w:spacing w:val="-3"/>
        </w:rPr>
        <w:t xml:space="preserve"> </w:t>
      </w:r>
      <w:r>
        <w:t>efficient</w:t>
      </w:r>
      <w:r>
        <w:rPr>
          <w:spacing w:val="-3"/>
        </w:rPr>
        <w:t xml:space="preserve"> </w:t>
      </w:r>
      <w:r>
        <w:t>assessment</w:t>
      </w:r>
      <w:r>
        <w:rPr>
          <w:spacing w:val="-3"/>
        </w:rPr>
        <w:t xml:space="preserve"> </w:t>
      </w:r>
      <w:r>
        <w:t>is</w:t>
      </w:r>
      <w:r>
        <w:rPr>
          <w:spacing w:val="-3"/>
        </w:rPr>
        <w:t xml:space="preserve"> </w:t>
      </w:r>
      <w:r>
        <w:t>if</w:t>
      </w:r>
      <w:r>
        <w:rPr>
          <w:spacing w:val="-3"/>
        </w:rPr>
        <w:t xml:space="preserve"> </w:t>
      </w:r>
      <w:r>
        <w:t>the</w:t>
      </w:r>
      <w:r>
        <w:rPr>
          <w:spacing w:val="-2"/>
        </w:rPr>
        <w:t xml:space="preserve"> </w:t>
      </w:r>
      <w:r>
        <w:t>Australian</w:t>
      </w:r>
      <w:r>
        <w:rPr>
          <w:spacing w:val="-3"/>
        </w:rPr>
        <w:t xml:space="preserve"> </w:t>
      </w:r>
      <w:r>
        <w:t>Government</w:t>
      </w:r>
      <w:r>
        <w:rPr>
          <w:spacing w:val="-3"/>
        </w:rPr>
        <w:t xml:space="preserve"> </w:t>
      </w:r>
      <w:r>
        <w:t>Minister</w:t>
      </w:r>
      <w:r>
        <w:rPr>
          <w:spacing w:val="-2"/>
        </w:rPr>
        <w:t xml:space="preserve"> </w:t>
      </w:r>
      <w:r>
        <w:t>can</w:t>
      </w:r>
      <w:r>
        <w:rPr>
          <w:spacing w:val="-3"/>
        </w:rPr>
        <w:t xml:space="preserve"> </w:t>
      </w:r>
      <w:proofErr w:type="gramStart"/>
      <w:r>
        <w:t>make</w:t>
      </w:r>
      <w:r>
        <w:rPr>
          <w:spacing w:val="-2"/>
        </w:rPr>
        <w:t xml:space="preserve"> </w:t>
      </w:r>
      <w:r>
        <w:t>a</w:t>
      </w:r>
      <w:r>
        <w:rPr>
          <w:spacing w:val="-3"/>
        </w:rPr>
        <w:t xml:space="preserve"> </w:t>
      </w:r>
      <w:r>
        <w:t>decision</w:t>
      </w:r>
      <w:proofErr w:type="gramEnd"/>
      <w:r>
        <w:rPr>
          <w:spacing w:val="-3"/>
        </w:rPr>
        <w:t xml:space="preserve"> </w:t>
      </w:r>
      <w:proofErr w:type="gramStart"/>
      <w:r>
        <w:t>on</w:t>
      </w:r>
      <w:r>
        <w:rPr>
          <w:spacing w:val="-2"/>
        </w:rPr>
        <w:t xml:space="preserve"> </w:t>
      </w:r>
      <w:r>
        <w:t>the basis of</w:t>
      </w:r>
      <w:proofErr w:type="gramEnd"/>
      <w:r>
        <w:t xml:space="preserve"> the state assessment report and EIS without requiring any other information (KPI 11). In 89% (16/18) of projects, the Australian Government decision-maker made an approval decision without requiring any other information, indicating that the operation of the Agreement is reducing Australian Government effort in making determinations.</w:t>
      </w:r>
    </w:p>
    <w:p w14:paraId="29DDC9E9" w14:textId="77777777" w:rsidR="00483D15" w:rsidRDefault="00000000">
      <w:pPr>
        <w:pStyle w:val="BodyText"/>
        <w:spacing w:before="119" w:line="360" w:lineRule="auto"/>
        <w:ind w:left="21" w:right="923"/>
      </w:pPr>
      <w:r>
        <w:t>Proponents</w:t>
      </w:r>
      <w:r>
        <w:rPr>
          <w:spacing w:val="-4"/>
        </w:rPr>
        <w:t xml:space="preserve"> </w:t>
      </w:r>
      <w:r>
        <w:t>have</w:t>
      </w:r>
      <w:r>
        <w:rPr>
          <w:spacing w:val="-4"/>
        </w:rPr>
        <w:t xml:space="preserve"> </w:t>
      </w:r>
      <w:r>
        <w:t>consistently</w:t>
      </w:r>
      <w:r>
        <w:rPr>
          <w:spacing w:val="-4"/>
        </w:rPr>
        <w:t xml:space="preserve"> </w:t>
      </w:r>
      <w:r>
        <w:t>applied</w:t>
      </w:r>
      <w:r>
        <w:rPr>
          <w:spacing w:val="-3"/>
        </w:rPr>
        <w:t xml:space="preserve"> </w:t>
      </w:r>
      <w:r>
        <w:t>the</w:t>
      </w:r>
      <w:r>
        <w:rPr>
          <w:spacing w:val="-4"/>
        </w:rPr>
        <w:t xml:space="preserve"> </w:t>
      </w:r>
      <w:r>
        <w:t>endorsed</w:t>
      </w:r>
      <w:r>
        <w:rPr>
          <w:spacing w:val="-4"/>
        </w:rPr>
        <w:t xml:space="preserve"> </w:t>
      </w:r>
      <w:r>
        <w:t>offset</w:t>
      </w:r>
      <w:r>
        <w:rPr>
          <w:spacing w:val="-4"/>
        </w:rPr>
        <w:t xml:space="preserve"> </w:t>
      </w:r>
      <w:r>
        <w:t>method,</w:t>
      </w:r>
      <w:r>
        <w:rPr>
          <w:spacing w:val="-2"/>
        </w:rPr>
        <w:t xml:space="preserve"> </w:t>
      </w:r>
      <w:r>
        <w:t>and</w:t>
      </w:r>
      <w:r>
        <w:rPr>
          <w:spacing w:val="-4"/>
        </w:rPr>
        <w:t xml:space="preserve"> </w:t>
      </w:r>
      <w:r>
        <w:t>state</w:t>
      </w:r>
      <w:r>
        <w:rPr>
          <w:spacing w:val="-4"/>
        </w:rPr>
        <w:t xml:space="preserve"> </w:t>
      </w:r>
      <w:r>
        <w:t>assessment</w:t>
      </w:r>
      <w:r>
        <w:rPr>
          <w:spacing w:val="-4"/>
        </w:rPr>
        <w:t xml:space="preserve"> </w:t>
      </w:r>
      <w:r>
        <w:t>reports</w:t>
      </w:r>
      <w:r>
        <w:rPr>
          <w:spacing w:val="-4"/>
        </w:rPr>
        <w:t xml:space="preserve"> </w:t>
      </w:r>
      <w:r>
        <w:t xml:space="preserve">provide sufficient information to the Australian Government regarding offsets where relevant. All projects described the methodology used to derive the offset, the nature of the offset, and, if relevant, its </w:t>
      </w:r>
      <w:r>
        <w:rPr>
          <w:spacing w:val="-2"/>
        </w:rPr>
        <w:t>location.</w:t>
      </w:r>
    </w:p>
    <w:p w14:paraId="3C97C1B1" w14:textId="77777777" w:rsidR="00483D15" w:rsidRDefault="00000000">
      <w:pPr>
        <w:pStyle w:val="BodyText"/>
        <w:spacing w:before="120" w:line="360" w:lineRule="auto"/>
        <w:ind w:left="21" w:right="928"/>
      </w:pPr>
      <w:r>
        <w:t>KPI</w:t>
      </w:r>
      <w:r>
        <w:rPr>
          <w:spacing w:val="-3"/>
        </w:rPr>
        <w:t xml:space="preserve"> </w:t>
      </w:r>
      <w:r>
        <w:t>12</w:t>
      </w:r>
      <w:r>
        <w:rPr>
          <w:spacing w:val="-3"/>
        </w:rPr>
        <w:t xml:space="preserve"> </w:t>
      </w:r>
      <w:r>
        <w:t>is</w:t>
      </w:r>
      <w:r>
        <w:rPr>
          <w:spacing w:val="-3"/>
        </w:rPr>
        <w:t xml:space="preserve"> </w:t>
      </w:r>
      <w:r>
        <w:t>the</w:t>
      </w:r>
      <w:r>
        <w:rPr>
          <w:spacing w:val="-2"/>
        </w:rPr>
        <w:t xml:space="preserve"> </w:t>
      </w:r>
      <w:r>
        <w:t>number</w:t>
      </w:r>
      <w:r>
        <w:rPr>
          <w:spacing w:val="-3"/>
        </w:rPr>
        <w:t xml:space="preserve"> </w:t>
      </w:r>
      <w:r>
        <w:t>of</w:t>
      </w:r>
      <w:r>
        <w:rPr>
          <w:spacing w:val="-3"/>
        </w:rPr>
        <w:t xml:space="preserve"> </w:t>
      </w:r>
      <w:r>
        <w:t>statutory</w:t>
      </w:r>
      <w:r>
        <w:rPr>
          <w:spacing w:val="-3"/>
        </w:rPr>
        <w:t xml:space="preserve"> </w:t>
      </w:r>
      <w:r>
        <w:t>days</w:t>
      </w:r>
      <w:r>
        <w:rPr>
          <w:spacing w:val="-1"/>
        </w:rPr>
        <w:t xml:space="preserve"> </w:t>
      </w:r>
      <w:r>
        <w:t>between</w:t>
      </w:r>
      <w:r>
        <w:rPr>
          <w:spacing w:val="-3"/>
        </w:rPr>
        <w:t xml:space="preserve"> </w:t>
      </w:r>
      <w:r>
        <w:t>receipt</w:t>
      </w:r>
      <w:r>
        <w:rPr>
          <w:spacing w:val="-3"/>
        </w:rPr>
        <w:t xml:space="preserve"> </w:t>
      </w:r>
      <w:r>
        <w:t>of</w:t>
      </w:r>
      <w:r>
        <w:rPr>
          <w:spacing w:val="-2"/>
        </w:rPr>
        <w:t xml:space="preserve"> </w:t>
      </w:r>
      <w:r>
        <w:t>the</w:t>
      </w:r>
      <w:r>
        <w:rPr>
          <w:spacing w:val="-2"/>
        </w:rPr>
        <w:t xml:space="preserve"> </w:t>
      </w:r>
      <w:r>
        <w:t>state</w:t>
      </w:r>
      <w:r>
        <w:rPr>
          <w:spacing w:val="-3"/>
        </w:rPr>
        <w:t xml:space="preserve"> </w:t>
      </w:r>
      <w:r>
        <w:t>assessment</w:t>
      </w:r>
      <w:r>
        <w:rPr>
          <w:spacing w:val="-3"/>
        </w:rPr>
        <w:t xml:space="preserve"> </w:t>
      </w:r>
      <w:r>
        <w:t>report</w:t>
      </w:r>
      <w:r>
        <w:rPr>
          <w:spacing w:val="-3"/>
        </w:rPr>
        <w:t xml:space="preserve"> </w:t>
      </w:r>
      <w:r>
        <w:t>and</w:t>
      </w:r>
      <w:r>
        <w:rPr>
          <w:spacing w:val="-2"/>
        </w:rPr>
        <w:t xml:space="preserve"> </w:t>
      </w:r>
      <w:r>
        <w:t>the</w:t>
      </w:r>
      <w:r>
        <w:rPr>
          <w:spacing w:val="-2"/>
        </w:rPr>
        <w:t xml:space="preserve"> </w:t>
      </w:r>
      <w:r>
        <w:t xml:space="preserve">Australian Government decision. In 16% (3/18) of projects, the Australian Government made an assessment decision within the target 30 business days. DAWE requested no further information from DPIE and </w:t>
      </w:r>
      <w:proofErr w:type="gramStart"/>
      <w:r>
        <w:t>applied</w:t>
      </w:r>
      <w:proofErr w:type="gramEnd"/>
      <w:r>
        <w:t xml:space="preserve"> no additional conditions (KPI 13).</w:t>
      </w:r>
    </w:p>
    <w:p w14:paraId="24EE792C" w14:textId="77777777" w:rsidR="00483D15" w:rsidRDefault="00000000">
      <w:pPr>
        <w:pStyle w:val="BodyText"/>
        <w:spacing w:before="121" w:line="360" w:lineRule="auto"/>
        <w:ind w:left="21" w:right="912"/>
      </w:pPr>
      <w:r>
        <w:t>In</w:t>
      </w:r>
      <w:r>
        <w:rPr>
          <w:spacing w:val="-3"/>
        </w:rPr>
        <w:t xml:space="preserve"> </w:t>
      </w:r>
      <w:r>
        <w:t>39%</w:t>
      </w:r>
      <w:r>
        <w:rPr>
          <w:spacing w:val="-3"/>
        </w:rPr>
        <w:t xml:space="preserve"> </w:t>
      </w:r>
      <w:r>
        <w:t>(7/18)</w:t>
      </w:r>
      <w:r>
        <w:rPr>
          <w:spacing w:val="-2"/>
        </w:rPr>
        <w:t xml:space="preserve"> </w:t>
      </w:r>
      <w:r>
        <w:t>projects,</w:t>
      </w:r>
      <w:r>
        <w:rPr>
          <w:spacing w:val="-3"/>
        </w:rPr>
        <w:t xml:space="preserve"> </w:t>
      </w:r>
      <w:r>
        <w:t>DAWE</w:t>
      </w:r>
      <w:r>
        <w:rPr>
          <w:spacing w:val="-3"/>
        </w:rPr>
        <w:t xml:space="preserve"> </w:t>
      </w:r>
      <w:r>
        <w:t>applied</w:t>
      </w:r>
      <w:r>
        <w:rPr>
          <w:spacing w:val="-2"/>
        </w:rPr>
        <w:t xml:space="preserve"> </w:t>
      </w:r>
      <w:r>
        <w:t>additional</w:t>
      </w:r>
      <w:r>
        <w:rPr>
          <w:spacing w:val="-2"/>
        </w:rPr>
        <w:t xml:space="preserve"> </w:t>
      </w:r>
      <w:r>
        <w:t>conditions</w:t>
      </w:r>
      <w:r>
        <w:rPr>
          <w:spacing w:val="-3"/>
        </w:rPr>
        <w:t xml:space="preserve"> </w:t>
      </w:r>
      <w:r>
        <w:t>to</w:t>
      </w:r>
      <w:r>
        <w:rPr>
          <w:spacing w:val="-1"/>
        </w:rPr>
        <w:t xml:space="preserve"> </w:t>
      </w:r>
      <w:r>
        <w:t>protect</w:t>
      </w:r>
      <w:r>
        <w:rPr>
          <w:spacing w:val="-3"/>
        </w:rPr>
        <w:t xml:space="preserve"> </w:t>
      </w:r>
      <w:r>
        <w:t>MNES</w:t>
      </w:r>
      <w:r>
        <w:rPr>
          <w:spacing w:val="-2"/>
        </w:rPr>
        <w:t xml:space="preserve"> </w:t>
      </w:r>
      <w:r>
        <w:t>not</w:t>
      </w:r>
      <w:r>
        <w:rPr>
          <w:spacing w:val="-3"/>
        </w:rPr>
        <w:t xml:space="preserve"> </w:t>
      </w:r>
      <w:r>
        <w:t>addressed</w:t>
      </w:r>
      <w:r>
        <w:rPr>
          <w:spacing w:val="-2"/>
        </w:rPr>
        <w:t xml:space="preserve"> </w:t>
      </w:r>
      <w:r>
        <w:t>or</w:t>
      </w:r>
      <w:r>
        <w:rPr>
          <w:spacing w:val="-3"/>
        </w:rPr>
        <w:t xml:space="preserve"> </w:t>
      </w:r>
      <w:r>
        <w:t>likely</w:t>
      </w:r>
      <w:r>
        <w:rPr>
          <w:spacing w:val="-2"/>
        </w:rPr>
        <w:t xml:space="preserve"> </w:t>
      </w:r>
      <w:r>
        <w:t>to</w:t>
      </w:r>
      <w:r>
        <w:rPr>
          <w:spacing w:val="-2"/>
        </w:rPr>
        <w:t xml:space="preserve"> </w:t>
      </w:r>
      <w:r>
        <w:t>be addressed</w:t>
      </w:r>
      <w:r>
        <w:rPr>
          <w:spacing w:val="-3"/>
        </w:rPr>
        <w:t xml:space="preserve"> </w:t>
      </w:r>
      <w:r>
        <w:t>by</w:t>
      </w:r>
      <w:r>
        <w:rPr>
          <w:spacing w:val="-2"/>
        </w:rPr>
        <w:t xml:space="preserve"> </w:t>
      </w:r>
      <w:r>
        <w:t>the</w:t>
      </w:r>
      <w:r>
        <w:rPr>
          <w:spacing w:val="-2"/>
        </w:rPr>
        <w:t xml:space="preserve"> </w:t>
      </w:r>
      <w:r>
        <w:t>NSW</w:t>
      </w:r>
      <w:r>
        <w:rPr>
          <w:spacing w:val="-2"/>
        </w:rPr>
        <w:t xml:space="preserve"> </w:t>
      </w:r>
      <w:r>
        <w:t>approval</w:t>
      </w:r>
      <w:r>
        <w:rPr>
          <w:spacing w:val="-3"/>
        </w:rPr>
        <w:t xml:space="preserve"> </w:t>
      </w:r>
      <w:r>
        <w:t>conditions,</w:t>
      </w:r>
      <w:r>
        <w:rPr>
          <w:spacing w:val="-3"/>
        </w:rPr>
        <w:t xml:space="preserve"> </w:t>
      </w:r>
      <w:r>
        <w:t>increasing</w:t>
      </w:r>
      <w:r>
        <w:rPr>
          <w:spacing w:val="-3"/>
        </w:rPr>
        <w:t xml:space="preserve"> </w:t>
      </w:r>
      <w:r>
        <w:t>the</w:t>
      </w:r>
      <w:r>
        <w:rPr>
          <w:spacing w:val="-3"/>
        </w:rPr>
        <w:t xml:space="preserve"> </w:t>
      </w:r>
      <w:r>
        <w:t>assessment</w:t>
      </w:r>
      <w:r>
        <w:rPr>
          <w:spacing w:val="-2"/>
        </w:rPr>
        <w:t xml:space="preserve"> </w:t>
      </w:r>
      <w:r>
        <w:t>decision</w:t>
      </w:r>
      <w:r>
        <w:rPr>
          <w:spacing w:val="-3"/>
        </w:rPr>
        <w:t xml:space="preserve"> </w:t>
      </w:r>
      <w:r>
        <w:t>timeframe</w:t>
      </w:r>
      <w:r>
        <w:rPr>
          <w:spacing w:val="-1"/>
        </w:rPr>
        <w:t xml:space="preserve"> </w:t>
      </w:r>
      <w:r>
        <w:t>beyond</w:t>
      </w:r>
      <w:r>
        <w:rPr>
          <w:spacing w:val="-2"/>
        </w:rPr>
        <w:t xml:space="preserve"> </w:t>
      </w:r>
      <w:r>
        <w:t>the</w:t>
      </w:r>
      <w:r>
        <w:rPr>
          <w:spacing w:val="-2"/>
        </w:rPr>
        <w:t xml:space="preserve"> </w:t>
      </w:r>
      <w:r>
        <w:t xml:space="preserve">30 business days. Across all 18 projects, the average period between receipt of the report and </w:t>
      </w:r>
      <w:proofErr w:type="gramStart"/>
      <w:r>
        <w:t>an assessment</w:t>
      </w:r>
      <w:proofErr w:type="gramEnd"/>
      <w:r>
        <w:t xml:space="preserve"> decision was 66 business days. For example, for Oakdale West Industrial Estate the Commonwealth approval required additional non-</w:t>
      </w:r>
      <w:proofErr w:type="gramStart"/>
      <w:r>
        <w:t>habitat based</w:t>
      </w:r>
      <w:proofErr w:type="gramEnd"/>
      <w:r>
        <w:t xml:space="preserve"> offsets to fund a Biodiversity Conservation Action for the affected Cumberland Plain Woodland, an Endangered Ecological Community under the </w:t>
      </w:r>
      <w:r>
        <w:rPr>
          <w:i/>
        </w:rPr>
        <w:t xml:space="preserve">Threatened Species Conservation Act </w:t>
      </w:r>
      <w:r>
        <w:t xml:space="preserve">1995. The decision timeframe for this project was 43 </w:t>
      </w:r>
      <w:r>
        <w:rPr>
          <w:spacing w:val="-2"/>
        </w:rPr>
        <w:t>days.</w:t>
      </w:r>
    </w:p>
    <w:p w14:paraId="6BAB469A" w14:textId="77777777" w:rsidR="00483D15" w:rsidRDefault="00000000">
      <w:pPr>
        <w:pStyle w:val="BodyText"/>
        <w:spacing w:before="121" w:line="360" w:lineRule="auto"/>
        <w:ind w:left="21" w:right="876"/>
      </w:pPr>
      <w:r>
        <w:t>DAWE stakeholders noted that more time is spent by the Australian Government in instances where DAWE requests additional information from the proponent prior to making an assessment decision. Reasons for requiring additional information include where the project involved matters considered outside of the NSW assessment, or where complexities and sensitivities related to MNES warrant more consideration</w:t>
      </w:r>
      <w:r>
        <w:rPr>
          <w:spacing w:val="-2"/>
        </w:rPr>
        <w:t xml:space="preserve"> </w:t>
      </w:r>
      <w:r>
        <w:t>i.e.</w:t>
      </w:r>
      <w:r>
        <w:rPr>
          <w:spacing w:val="-2"/>
        </w:rPr>
        <w:t xml:space="preserve"> </w:t>
      </w:r>
      <w:r>
        <w:t>not</w:t>
      </w:r>
      <w:r>
        <w:rPr>
          <w:spacing w:val="-2"/>
        </w:rPr>
        <w:t xml:space="preserve"> </w:t>
      </w:r>
      <w:r>
        <w:t>because</w:t>
      </w:r>
      <w:r>
        <w:rPr>
          <w:spacing w:val="-3"/>
        </w:rPr>
        <w:t xml:space="preserve"> </w:t>
      </w:r>
      <w:r>
        <w:t>the</w:t>
      </w:r>
      <w:r>
        <w:rPr>
          <w:spacing w:val="-3"/>
        </w:rPr>
        <w:t xml:space="preserve"> </w:t>
      </w:r>
      <w:r>
        <w:t>information</w:t>
      </w:r>
      <w:r>
        <w:rPr>
          <w:spacing w:val="-3"/>
        </w:rPr>
        <w:t xml:space="preserve"> </w:t>
      </w:r>
      <w:r>
        <w:t>in</w:t>
      </w:r>
      <w:r>
        <w:rPr>
          <w:spacing w:val="-3"/>
        </w:rPr>
        <w:t xml:space="preserve"> </w:t>
      </w:r>
      <w:r>
        <w:t>the</w:t>
      </w:r>
      <w:r>
        <w:rPr>
          <w:spacing w:val="-2"/>
        </w:rPr>
        <w:t xml:space="preserve"> </w:t>
      </w:r>
      <w:r>
        <w:t>NSW</w:t>
      </w:r>
      <w:r>
        <w:rPr>
          <w:spacing w:val="-2"/>
        </w:rPr>
        <w:t xml:space="preserve"> </w:t>
      </w:r>
      <w:r>
        <w:t>report</w:t>
      </w:r>
      <w:r>
        <w:rPr>
          <w:spacing w:val="-2"/>
        </w:rPr>
        <w:t xml:space="preserve"> </w:t>
      </w:r>
      <w:r>
        <w:t>was</w:t>
      </w:r>
      <w:r>
        <w:rPr>
          <w:spacing w:val="-3"/>
        </w:rPr>
        <w:t xml:space="preserve"> </w:t>
      </w:r>
      <w:r>
        <w:t>insufficient.</w:t>
      </w:r>
      <w:r>
        <w:rPr>
          <w:spacing w:val="-2"/>
        </w:rPr>
        <w:t xml:space="preserve"> </w:t>
      </w:r>
      <w:r>
        <w:t>On</w:t>
      </w:r>
      <w:r>
        <w:rPr>
          <w:spacing w:val="-2"/>
        </w:rPr>
        <w:t xml:space="preserve"> </w:t>
      </w:r>
      <w:r>
        <w:t>occasion</w:t>
      </w:r>
      <w:r>
        <w:rPr>
          <w:spacing w:val="-3"/>
        </w:rPr>
        <w:t xml:space="preserve"> </w:t>
      </w:r>
      <w:r>
        <w:t>DAWE</w:t>
      </w:r>
      <w:r>
        <w:rPr>
          <w:spacing w:val="-2"/>
        </w:rPr>
        <w:t xml:space="preserve"> </w:t>
      </w:r>
      <w:r>
        <w:t xml:space="preserve">has been unable to </w:t>
      </w:r>
      <w:proofErr w:type="spellStart"/>
      <w:r>
        <w:t>prioritise</w:t>
      </w:r>
      <w:proofErr w:type="spellEnd"/>
      <w:r>
        <w:t xml:space="preserve"> statutory timeframes due to capacity restrictions. Whilst this is not directly attributable to the Agreement process, since the beginning of 2020, </w:t>
      </w:r>
      <w:proofErr w:type="gramStart"/>
      <w:r>
        <w:t>as a result of</w:t>
      </w:r>
      <w:proofErr w:type="gramEnd"/>
      <w:r>
        <w:t xml:space="preserve"> additional funding, timeframes for Australian Government assessment decisions have been met around 99% of the time.</w:t>
      </w:r>
    </w:p>
    <w:p w14:paraId="24C075F0" w14:textId="77777777" w:rsidR="00483D15" w:rsidRDefault="00000000">
      <w:pPr>
        <w:pStyle w:val="BodyText"/>
        <w:spacing w:before="119" w:line="360" w:lineRule="auto"/>
        <w:ind w:left="21" w:right="923"/>
      </w:pPr>
      <w:r>
        <w:t>Generally,</w:t>
      </w:r>
      <w:r>
        <w:rPr>
          <w:spacing w:val="-3"/>
        </w:rPr>
        <w:t xml:space="preserve"> </w:t>
      </w:r>
      <w:r>
        <w:t>both</w:t>
      </w:r>
      <w:r>
        <w:rPr>
          <w:spacing w:val="-4"/>
        </w:rPr>
        <w:t xml:space="preserve"> </w:t>
      </w:r>
      <w:r>
        <w:t>internal</w:t>
      </w:r>
      <w:r>
        <w:rPr>
          <w:spacing w:val="-3"/>
        </w:rPr>
        <w:t xml:space="preserve"> </w:t>
      </w:r>
      <w:r>
        <w:t>(DPIE</w:t>
      </w:r>
      <w:r>
        <w:rPr>
          <w:spacing w:val="-4"/>
        </w:rPr>
        <w:t xml:space="preserve"> </w:t>
      </w:r>
      <w:r>
        <w:t>&amp;</w:t>
      </w:r>
      <w:r>
        <w:rPr>
          <w:spacing w:val="-4"/>
        </w:rPr>
        <w:t xml:space="preserve"> </w:t>
      </w:r>
      <w:r>
        <w:t>DAWE)</w:t>
      </w:r>
      <w:r>
        <w:rPr>
          <w:spacing w:val="-2"/>
        </w:rPr>
        <w:t xml:space="preserve"> </w:t>
      </w:r>
      <w:r>
        <w:t>and</w:t>
      </w:r>
      <w:r>
        <w:rPr>
          <w:spacing w:val="-4"/>
        </w:rPr>
        <w:t xml:space="preserve"> </w:t>
      </w:r>
      <w:r>
        <w:t>external</w:t>
      </w:r>
      <w:r>
        <w:rPr>
          <w:spacing w:val="-2"/>
        </w:rPr>
        <w:t xml:space="preserve"> </w:t>
      </w:r>
      <w:r>
        <w:t>(other</w:t>
      </w:r>
      <w:r>
        <w:rPr>
          <w:spacing w:val="-4"/>
        </w:rPr>
        <w:t xml:space="preserve"> </w:t>
      </w:r>
      <w:r>
        <w:t>NSW</w:t>
      </w:r>
      <w:r>
        <w:rPr>
          <w:spacing w:val="-3"/>
        </w:rPr>
        <w:t xml:space="preserve"> </w:t>
      </w:r>
      <w:r>
        <w:t>government)</w:t>
      </w:r>
      <w:r>
        <w:rPr>
          <w:spacing w:val="-3"/>
        </w:rPr>
        <w:t xml:space="preserve"> </w:t>
      </w:r>
      <w:r>
        <w:t>stakeholders</w:t>
      </w:r>
      <w:r>
        <w:rPr>
          <w:spacing w:val="-2"/>
        </w:rPr>
        <w:t xml:space="preserve"> </w:t>
      </w:r>
      <w:r>
        <w:t>noted</w:t>
      </w:r>
      <w:r>
        <w:rPr>
          <w:spacing w:val="-4"/>
        </w:rPr>
        <w:t xml:space="preserve"> </w:t>
      </w:r>
      <w:r>
        <w:t>that there has been a reduction in duplication, and that the Agreement has reduced the effort required on behalf of the proponent and the Australian Government.</w:t>
      </w:r>
      <w:r>
        <w:rPr>
          <w:spacing w:val="40"/>
        </w:rPr>
        <w:t xml:space="preserve"> </w:t>
      </w:r>
      <w:r>
        <w:t>While stakeholders also noted that Bilateral</w:t>
      </w:r>
    </w:p>
    <w:p w14:paraId="0679328F" w14:textId="77777777" w:rsidR="00483D15" w:rsidRDefault="00483D15">
      <w:pPr>
        <w:pStyle w:val="BodyText"/>
        <w:spacing w:line="360" w:lineRule="auto"/>
        <w:sectPr w:rsidR="00483D15">
          <w:pgSz w:w="11910" w:h="16840"/>
          <w:pgMar w:top="1380" w:right="566" w:bottom="1200" w:left="992" w:header="0" w:footer="1000" w:gutter="0"/>
          <w:cols w:space="720"/>
        </w:sectPr>
      </w:pPr>
    </w:p>
    <w:p w14:paraId="72955E87" w14:textId="77777777" w:rsidR="00483D15" w:rsidRDefault="00000000">
      <w:pPr>
        <w:pStyle w:val="BodyText"/>
        <w:spacing w:before="42" w:line="360" w:lineRule="auto"/>
        <w:ind w:left="22" w:right="923" w:hanging="1"/>
      </w:pPr>
      <w:r>
        <w:lastRenderedPageBreak/>
        <w:t xml:space="preserve">Assessments can increase time for DPIE teams to undertake </w:t>
      </w:r>
      <w:proofErr w:type="gramStart"/>
      <w:r>
        <w:t>assessments,</w:t>
      </w:r>
      <w:proofErr w:type="gramEnd"/>
      <w:r>
        <w:t xml:space="preserve"> they also agreed that the additional</w:t>
      </w:r>
      <w:r>
        <w:rPr>
          <w:spacing w:val="-3"/>
        </w:rPr>
        <w:t xml:space="preserve"> </w:t>
      </w:r>
      <w:r>
        <w:t>time</w:t>
      </w:r>
      <w:r>
        <w:rPr>
          <w:spacing w:val="-3"/>
        </w:rPr>
        <w:t xml:space="preserve"> </w:t>
      </w:r>
      <w:r>
        <w:t>spent</w:t>
      </w:r>
      <w:r>
        <w:rPr>
          <w:spacing w:val="-3"/>
        </w:rPr>
        <w:t xml:space="preserve"> </w:t>
      </w:r>
      <w:r>
        <w:t>has</w:t>
      </w:r>
      <w:r>
        <w:rPr>
          <w:spacing w:val="-3"/>
        </w:rPr>
        <w:t xml:space="preserve"> </w:t>
      </w:r>
      <w:r>
        <w:t>improved</w:t>
      </w:r>
      <w:r>
        <w:rPr>
          <w:spacing w:val="-3"/>
        </w:rPr>
        <w:t xml:space="preserve"> </w:t>
      </w:r>
      <w:r>
        <w:t>the</w:t>
      </w:r>
      <w:r>
        <w:rPr>
          <w:spacing w:val="-3"/>
        </w:rPr>
        <w:t xml:space="preserve"> </w:t>
      </w:r>
      <w:r>
        <w:t>presentation</w:t>
      </w:r>
      <w:r>
        <w:rPr>
          <w:spacing w:val="-3"/>
        </w:rPr>
        <w:t xml:space="preserve"> </w:t>
      </w:r>
      <w:r>
        <w:t>of</w:t>
      </w:r>
      <w:r>
        <w:rPr>
          <w:spacing w:val="-3"/>
        </w:rPr>
        <w:t xml:space="preserve"> </w:t>
      </w:r>
      <w:r>
        <w:t>EPBC</w:t>
      </w:r>
      <w:r>
        <w:rPr>
          <w:spacing w:val="-3"/>
        </w:rPr>
        <w:t xml:space="preserve"> </w:t>
      </w:r>
      <w:r>
        <w:t>matters</w:t>
      </w:r>
      <w:r>
        <w:rPr>
          <w:spacing w:val="-3"/>
        </w:rPr>
        <w:t xml:space="preserve"> </w:t>
      </w:r>
      <w:r>
        <w:t>within</w:t>
      </w:r>
      <w:r>
        <w:rPr>
          <w:spacing w:val="-3"/>
        </w:rPr>
        <w:t xml:space="preserve"> </w:t>
      </w:r>
      <w:r>
        <w:t>state</w:t>
      </w:r>
      <w:r>
        <w:rPr>
          <w:spacing w:val="-3"/>
        </w:rPr>
        <w:t xml:space="preserve"> </w:t>
      </w:r>
      <w:r>
        <w:t>assessment</w:t>
      </w:r>
      <w:r>
        <w:rPr>
          <w:spacing w:val="-3"/>
        </w:rPr>
        <w:t xml:space="preserve"> </w:t>
      </w:r>
      <w:r>
        <w:t>reports.</w:t>
      </w:r>
    </w:p>
    <w:p w14:paraId="6758654A" w14:textId="77777777" w:rsidR="00483D15" w:rsidRDefault="00483D15">
      <w:pPr>
        <w:pStyle w:val="BodyText"/>
        <w:spacing w:line="360" w:lineRule="auto"/>
        <w:sectPr w:rsidR="00483D15">
          <w:pgSz w:w="11910" w:h="16840"/>
          <w:pgMar w:top="1380" w:right="566" w:bottom="1200" w:left="992" w:header="0" w:footer="1000" w:gutter="0"/>
          <w:cols w:space="720"/>
        </w:sectPr>
      </w:pPr>
    </w:p>
    <w:p w14:paraId="4532B8A6" w14:textId="77777777" w:rsidR="00483D15" w:rsidRDefault="00000000">
      <w:pPr>
        <w:pStyle w:val="Heading2"/>
      </w:pPr>
      <w:r>
        <w:lastRenderedPageBreak/>
        <w:t>SECTION</w:t>
      </w:r>
      <w:r>
        <w:rPr>
          <w:spacing w:val="-3"/>
        </w:rPr>
        <w:t xml:space="preserve"> </w:t>
      </w:r>
      <w:r>
        <w:t>4</w:t>
      </w:r>
      <w:r>
        <w:rPr>
          <w:spacing w:val="-1"/>
        </w:rPr>
        <w:t xml:space="preserve"> </w:t>
      </w:r>
      <w:r>
        <w:t>–</w:t>
      </w:r>
      <w:r>
        <w:rPr>
          <w:spacing w:val="-1"/>
        </w:rPr>
        <w:t xml:space="preserve"> </w:t>
      </w:r>
      <w:r>
        <w:rPr>
          <w:spacing w:val="-2"/>
        </w:rPr>
        <w:t>RECOMMENDATIONS</w:t>
      </w:r>
    </w:p>
    <w:p w14:paraId="45E2A04E" w14:textId="77777777" w:rsidR="00483D15" w:rsidRDefault="00000000">
      <w:pPr>
        <w:pStyle w:val="BodyText"/>
        <w:spacing w:before="271" w:line="360" w:lineRule="auto"/>
        <w:ind w:left="22" w:right="923"/>
      </w:pPr>
      <w:r>
        <w:t>In</w:t>
      </w:r>
      <w:r>
        <w:rPr>
          <w:spacing w:val="-4"/>
        </w:rPr>
        <w:t xml:space="preserve"> </w:t>
      </w:r>
      <w:r>
        <w:t>their</w:t>
      </w:r>
      <w:r>
        <w:rPr>
          <w:spacing w:val="-3"/>
        </w:rPr>
        <w:t xml:space="preserve"> </w:t>
      </w:r>
      <w:r>
        <w:t>evaluation,</w:t>
      </w:r>
      <w:r>
        <w:rPr>
          <w:spacing w:val="-4"/>
        </w:rPr>
        <w:t xml:space="preserve"> </w:t>
      </w:r>
      <w:r>
        <w:t>independent</w:t>
      </w:r>
      <w:r>
        <w:rPr>
          <w:spacing w:val="-3"/>
        </w:rPr>
        <w:t xml:space="preserve"> </w:t>
      </w:r>
      <w:r>
        <w:t>consultants,</w:t>
      </w:r>
      <w:r>
        <w:rPr>
          <w:spacing w:val="-4"/>
        </w:rPr>
        <w:t xml:space="preserve"> </w:t>
      </w:r>
      <w:r>
        <w:t>Nous</w:t>
      </w:r>
      <w:r>
        <w:rPr>
          <w:spacing w:val="-2"/>
        </w:rPr>
        <w:t xml:space="preserve"> </w:t>
      </w:r>
      <w:r>
        <w:t>group,</w:t>
      </w:r>
      <w:r>
        <w:rPr>
          <w:spacing w:val="-4"/>
        </w:rPr>
        <w:t xml:space="preserve"> </w:t>
      </w:r>
      <w:r>
        <w:t>identified</w:t>
      </w:r>
      <w:r>
        <w:rPr>
          <w:spacing w:val="-4"/>
        </w:rPr>
        <w:t xml:space="preserve"> </w:t>
      </w:r>
      <w:r>
        <w:t>opportunities</w:t>
      </w:r>
      <w:r>
        <w:rPr>
          <w:spacing w:val="-4"/>
        </w:rPr>
        <w:t xml:space="preserve"> </w:t>
      </w:r>
      <w:r>
        <w:t>to</w:t>
      </w:r>
      <w:r>
        <w:rPr>
          <w:spacing w:val="-3"/>
        </w:rPr>
        <w:t xml:space="preserve"> </w:t>
      </w:r>
      <w:r>
        <w:t>further</w:t>
      </w:r>
      <w:r>
        <w:rPr>
          <w:spacing w:val="-4"/>
        </w:rPr>
        <w:t xml:space="preserve"> </w:t>
      </w:r>
      <w:r>
        <w:t>improve</w:t>
      </w:r>
      <w:r>
        <w:rPr>
          <w:spacing w:val="-3"/>
        </w:rPr>
        <w:t xml:space="preserve"> </w:t>
      </w:r>
      <w:r>
        <w:t xml:space="preserve">the effectiveness of the Agreement’s implementation. (See Appendix C for their full report). DPIE and DAWE consulted with stakeholders on these recommendations and by doing so identified the following </w:t>
      </w:r>
      <w:r>
        <w:rPr>
          <w:spacing w:val="-2"/>
        </w:rPr>
        <w:t>priorities:</w:t>
      </w:r>
    </w:p>
    <w:p w14:paraId="222CAEAC" w14:textId="77777777" w:rsidR="00483D15" w:rsidRDefault="00000000">
      <w:pPr>
        <w:pStyle w:val="ListParagraph"/>
        <w:numPr>
          <w:ilvl w:val="0"/>
          <w:numId w:val="23"/>
        </w:numPr>
        <w:tabs>
          <w:tab w:val="left" w:pos="236"/>
        </w:tabs>
        <w:spacing w:before="119" w:line="360" w:lineRule="auto"/>
        <w:ind w:left="21" w:right="890" w:firstLine="0"/>
      </w:pPr>
      <w:r>
        <w:t>Review the existing KPIs and Monitoring, Evaluation and Reporting (MER) Strategy to ensure they best support and measure the desired environmental and efficiency outcomes. The experience from the past</w:t>
      </w:r>
      <w:r>
        <w:rPr>
          <w:spacing w:val="40"/>
        </w:rPr>
        <w:t xml:space="preserve"> </w:t>
      </w:r>
      <w:r>
        <w:t>5 years of implementation of the Agreement has shown that a review of the KPIs could result in better insight</w:t>
      </w:r>
      <w:r>
        <w:rPr>
          <w:spacing w:val="-2"/>
        </w:rPr>
        <w:t xml:space="preserve"> </w:t>
      </w:r>
      <w:r>
        <w:t>into</w:t>
      </w:r>
      <w:r>
        <w:rPr>
          <w:spacing w:val="-1"/>
        </w:rPr>
        <w:t xml:space="preserve"> </w:t>
      </w:r>
      <w:r>
        <w:t>the</w:t>
      </w:r>
      <w:r>
        <w:rPr>
          <w:spacing w:val="-3"/>
        </w:rPr>
        <w:t xml:space="preserve"> </w:t>
      </w:r>
      <w:r>
        <w:t>effectiveness</w:t>
      </w:r>
      <w:r>
        <w:rPr>
          <w:spacing w:val="-3"/>
        </w:rPr>
        <w:t xml:space="preserve"> </w:t>
      </w:r>
      <w:r>
        <w:t>of</w:t>
      </w:r>
      <w:r>
        <w:rPr>
          <w:spacing w:val="-3"/>
        </w:rPr>
        <w:t xml:space="preserve"> </w:t>
      </w:r>
      <w:r>
        <w:t>the</w:t>
      </w:r>
      <w:r>
        <w:rPr>
          <w:spacing w:val="-2"/>
        </w:rPr>
        <w:t xml:space="preserve"> </w:t>
      </w:r>
      <w:r>
        <w:t>operation</w:t>
      </w:r>
      <w:r>
        <w:rPr>
          <w:spacing w:val="-3"/>
        </w:rPr>
        <w:t xml:space="preserve"> </w:t>
      </w:r>
      <w:r>
        <w:t>of</w:t>
      </w:r>
      <w:r>
        <w:rPr>
          <w:spacing w:val="-3"/>
        </w:rPr>
        <w:t xml:space="preserve"> </w:t>
      </w:r>
      <w:r>
        <w:t>the</w:t>
      </w:r>
      <w:r>
        <w:rPr>
          <w:spacing w:val="-3"/>
        </w:rPr>
        <w:t xml:space="preserve"> </w:t>
      </w:r>
      <w:r>
        <w:t>Agreement,</w:t>
      </w:r>
      <w:r>
        <w:rPr>
          <w:spacing w:val="-1"/>
        </w:rPr>
        <w:t xml:space="preserve"> </w:t>
      </w:r>
      <w:r>
        <w:t>through</w:t>
      </w:r>
      <w:r>
        <w:rPr>
          <w:spacing w:val="-2"/>
        </w:rPr>
        <w:t xml:space="preserve"> </w:t>
      </w:r>
      <w:r>
        <w:t>more</w:t>
      </w:r>
      <w:r>
        <w:rPr>
          <w:spacing w:val="-3"/>
        </w:rPr>
        <w:t xml:space="preserve"> </w:t>
      </w:r>
      <w:r>
        <w:t>effective</w:t>
      </w:r>
      <w:r>
        <w:rPr>
          <w:spacing w:val="-2"/>
        </w:rPr>
        <w:t xml:space="preserve"> </w:t>
      </w:r>
      <w:r>
        <w:t>measurement</w:t>
      </w:r>
      <w:r>
        <w:rPr>
          <w:spacing w:val="-2"/>
        </w:rPr>
        <w:t xml:space="preserve"> </w:t>
      </w:r>
      <w:r>
        <w:t>of available data.</w:t>
      </w:r>
    </w:p>
    <w:p w14:paraId="2735CA43" w14:textId="77777777" w:rsidR="00483D15" w:rsidRDefault="00000000">
      <w:pPr>
        <w:pStyle w:val="ListParagraph"/>
        <w:numPr>
          <w:ilvl w:val="0"/>
          <w:numId w:val="23"/>
        </w:numPr>
        <w:tabs>
          <w:tab w:val="left" w:pos="22"/>
          <w:tab w:val="left" w:pos="236"/>
        </w:tabs>
        <w:spacing w:before="121" w:line="360" w:lineRule="auto"/>
        <w:ind w:right="1028" w:hanging="1"/>
      </w:pPr>
      <w:r>
        <w:t>Clarify roles and educate stakeholders on the Bilateral Assessment process, and review capacity building</w:t>
      </w:r>
      <w:r>
        <w:rPr>
          <w:spacing w:val="-3"/>
        </w:rPr>
        <w:t xml:space="preserve"> </w:t>
      </w:r>
      <w:r>
        <w:t>measures</w:t>
      </w:r>
      <w:r>
        <w:rPr>
          <w:spacing w:val="-4"/>
        </w:rPr>
        <w:t xml:space="preserve"> </w:t>
      </w:r>
      <w:r>
        <w:t>and</w:t>
      </w:r>
      <w:r>
        <w:rPr>
          <w:spacing w:val="-4"/>
        </w:rPr>
        <w:t xml:space="preserve"> </w:t>
      </w:r>
      <w:r>
        <w:t>governance</w:t>
      </w:r>
      <w:r>
        <w:rPr>
          <w:spacing w:val="-3"/>
        </w:rPr>
        <w:t xml:space="preserve"> </w:t>
      </w:r>
      <w:r>
        <w:t>arrangements</w:t>
      </w:r>
      <w:r>
        <w:rPr>
          <w:spacing w:val="-2"/>
        </w:rPr>
        <w:t xml:space="preserve"> </w:t>
      </w:r>
      <w:r>
        <w:t>to</w:t>
      </w:r>
      <w:r>
        <w:rPr>
          <w:spacing w:val="-3"/>
        </w:rPr>
        <w:t xml:space="preserve"> </w:t>
      </w:r>
      <w:r>
        <w:t>ensure</w:t>
      </w:r>
      <w:r>
        <w:rPr>
          <w:spacing w:val="-3"/>
        </w:rPr>
        <w:t xml:space="preserve"> </w:t>
      </w:r>
      <w:r>
        <w:t>the</w:t>
      </w:r>
      <w:r>
        <w:rPr>
          <w:spacing w:val="-2"/>
        </w:rPr>
        <w:t xml:space="preserve"> </w:t>
      </w:r>
      <w:r>
        <w:t>operation</w:t>
      </w:r>
      <w:r>
        <w:rPr>
          <w:spacing w:val="-4"/>
        </w:rPr>
        <w:t xml:space="preserve"> </w:t>
      </w:r>
      <w:r>
        <w:t>of</w:t>
      </w:r>
      <w:r>
        <w:rPr>
          <w:spacing w:val="-3"/>
        </w:rPr>
        <w:t xml:space="preserve"> </w:t>
      </w:r>
      <w:r>
        <w:t>the</w:t>
      </w:r>
      <w:r>
        <w:rPr>
          <w:spacing w:val="-4"/>
        </w:rPr>
        <w:t xml:space="preserve"> </w:t>
      </w:r>
      <w:r>
        <w:t>Agreement</w:t>
      </w:r>
      <w:r>
        <w:rPr>
          <w:spacing w:val="-4"/>
        </w:rPr>
        <w:t xml:space="preserve"> </w:t>
      </w:r>
      <w:r>
        <w:t>is</w:t>
      </w:r>
      <w:r>
        <w:rPr>
          <w:spacing w:val="-2"/>
        </w:rPr>
        <w:t xml:space="preserve"> </w:t>
      </w:r>
      <w:r>
        <w:t>effective, efficient and timely.</w:t>
      </w:r>
    </w:p>
    <w:p w14:paraId="559D34A5" w14:textId="77777777" w:rsidR="00483D15" w:rsidRDefault="00000000">
      <w:pPr>
        <w:pStyle w:val="ListParagraph"/>
        <w:numPr>
          <w:ilvl w:val="0"/>
          <w:numId w:val="23"/>
        </w:numPr>
        <w:tabs>
          <w:tab w:val="left" w:pos="237"/>
        </w:tabs>
        <w:spacing w:line="360" w:lineRule="auto"/>
        <w:ind w:right="987" w:firstLine="0"/>
        <w:jc w:val="both"/>
      </w:pPr>
      <w:r>
        <w:t>Explore ways to improve the existing format and content of standard state assessment reports to suit both</w:t>
      </w:r>
      <w:r>
        <w:rPr>
          <w:spacing w:val="-3"/>
        </w:rPr>
        <w:t xml:space="preserve"> </w:t>
      </w:r>
      <w:r>
        <w:t>DPIE</w:t>
      </w:r>
      <w:r>
        <w:rPr>
          <w:spacing w:val="-2"/>
        </w:rPr>
        <w:t xml:space="preserve"> </w:t>
      </w:r>
      <w:r>
        <w:t>and</w:t>
      </w:r>
      <w:r>
        <w:rPr>
          <w:spacing w:val="-3"/>
        </w:rPr>
        <w:t xml:space="preserve"> </w:t>
      </w:r>
      <w:r>
        <w:t>DAWE</w:t>
      </w:r>
      <w:r>
        <w:rPr>
          <w:spacing w:val="-2"/>
        </w:rPr>
        <w:t xml:space="preserve"> </w:t>
      </w:r>
      <w:r>
        <w:t>decision-making</w:t>
      </w:r>
      <w:r>
        <w:rPr>
          <w:spacing w:val="-1"/>
        </w:rPr>
        <w:t xml:space="preserve"> </w:t>
      </w:r>
      <w:r>
        <w:t>processes,</w:t>
      </w:r>
      <w:r>
        <w:rPr>
          <w:spacing w:val="-3"/>
        </w:rPr>
        <w:t xml:space="preserve"> </w:t>
      </w:r>
      <w:r>
        <w:t>to</w:t>
      </w:r>
      <w:r>
        <w:rPr>
          <w:spacing w:val="-1"/>
        </w:rPr>
        <w:t xml:space="preserve"> </w:t>
      </w:r>
      <w:r>
        <w:t>better</w:t>
      </w:r>
      <w:r>
        <w:rPr>
          <w:spacing w:val="-3"/>
        </w:rPr>
        <w:t xml:space="preserve"> </w:t>
      </w:r>
      <w:r>
        <w:t>link</w:t>
      </w:r>
      <w:r>
        <w:rPr>
          <w:spacing w:val="-3"/>
        </w:rPr>
        <w:t xml:space="preserve"> </w:t>
      </w:r>
      <w:r>
        <w:t>how</w:t>
      </w:r>
      <w:r>
        <w:rPr>
          <w:spacing w:val="-3"/>
        </w:rPr>
        <w:t xml:space="preserve"> </w:t>
      </w:r>
      <w:r>
        <w:t>the</w:t>
      </w:r>
      <w:r>
        <w:rPr>
          <w:spacing w:val="-2"/>
        </w:rPr>
        <w:t xml:space="preserve"> </w:t>
      </w:r>
      <w:r>
        <w:t>information</w:t>
      </w:r>
      <w:r>
        <w:rPr>
          <w:spacing w:val="-3"/>
        </w:rPr>
        <w:t xml:space="preserve"> </w:t>
      </w:r>
      <w:r>
        <w:t>is</w:t>
      </w:r>
      <w:r>
        <w:rPr>
          <w:spacing w:val="-3"/>
        </w:rPr>
        <w:t xml:space="preserve"> </w:t>
      </w:r>
      <w:r>
        <w:t>presented</w:t>
      </w:r>
      <w:r>
        <w:rPr>
          <w:spacing w:val="-2"/>
        </w:rPr>
        <w:t xml:space="preserve"> </w:t>
      </w:r>
      <w:r>
        <w:t>in</w:t>
      </w:r>
      <w:r>
        <w:rPr>
          <w:spacing w:val="-2"/>
        </w:rPr>
        <w:t xml:space="preserve"> </w:t>
      </w:r>
      <w:r>
        <w:t>NSW assessment reports and what information is required to support the Commonwealth decision-maker</w:t>
      </w:r>
    </w:p>
    <w:p w14:paraId="0AF982A6" w14:textId="77777777" w:rsidR="00483D15" w:rsidRDefault="00000000">
      <w:pPr>
        <w:pStyle w:val="ListParagraph"/>
        <w:numPr>
          <w:ilvl w:val="0"/>
          <w:numId w:val="23"/>
        </w:numPr>
        <w:tabs>
          <w:tab w:val="left" w:pos="237"/>
        </w:tabs>
        <w:spacing w:line="360" w:lineRule="auto"/>
        <w:ind w:right="968" w:firstLine="0"/>
      </w:pPr>
      <w:r>
        <w:t>Explore ways to provide greater transparency of mitigation of impacts on MNES, including habitat-based and non-habitat-based offsets through to their retirement. Compare offsets secured against impacts</w:t>
      </w:r>
      <w:r>
        <w:rPr>
          <w:spacing w:val="-3"/>
        </w:rPr>
        <w:t xml:space="preserve"> </w:t>
      </w:r>
      <w:r>
        <w:t>for</w:t>
      </w:r>
      <w:r>
        <w:rPr>
          <w:spacing w:val="-3"/>
        </w:rPr>
        <w:t xml:space="preserve"> </w:t>
      </w:r>
      <w:r>
        <w:t>key</w:t>
      </w:r>
      <w:r>
        <w:rPr>
          <w:spacing w:val="-3"/>
        </w:rPr>
        <w:t xml:space="preserve"> </w:t>
      </w:r>
      <w:r>
        <w:t>species</w:t>
      </w:r>
      <w:r>
        <w:rPr>
          <w:spacing w:val="-3"/>
        </w:rPr>
        <w:t xml:space="preserve"> </w:t>
      </w:r>
      <w:r>
        <w:t>and</w:t>
      </w:r>
      <w:r>
        <w:rPr>
          <w:spacing w:val="-3"/>
        </w:rPr>
        <w:t xml:space="preserve"> </w:t>
      </w:r>
      <w:r>
        <w:t>communities,</w:t>
      </w:r>
      <w:r>
        <w:rPr>
          <w:spacing w:val="-3"/>
        </w:rPr>
        <w:t xml:space="preserve"> </w:t>
      </w:r>
      <w:r>
        <w:t>to</w:t>
      </w:r>
      <w:r>
        <w:rPr>
          <w:spacing w:val="-2"/>
        </w:rPr>
        <w:t xml:space="preserve"> </w:t>
      </w:r>
      <w:r>
        <w:t>ensure</w:t>
      </w:r>
      <w:r>
        <w:rPr>
          <w:spacing w:val="-1"/>
        </w:rPr>
        <w:t xml:space="preserve"> </w:t>
      </w:r>
      <w:r>
        <w:t>that</w:t>
      </w:r>
      <w:r>
        <w:rPr>
          <w:spacing w:val="-3"/>
        </w:rPr>
        <w:t xml:space="preserve"> </w:t>
      </w:r>
      <w:r>
        <w:t>offsets</w:t>
      </w:r>
      <w:r>
        <w:rPr>
          <w:spacing w:val="-3"/>
        </w:rPr>
        <w:t xml:space="preserve"> </w:t>
      </w:r>
      <w:r>
        <w:t>are</w:t>
      </w:r>
      <w:r>
        <w:rPr>
          <w:spacing w:val="-3"/>
        </w:rPr>
        <w:t xml:space="preserve"> </w:t>
      </w:r>
      <w:r>
        <w:t>achieving</w:t>
      </w:r>
      <w:r>
        <w:rPr>
          <w:spacing w:val="-2"/>
        </w:rPr>
        <w:t xml:space="preserve"> </w:t>
      </w:r>
      <w:r>
        <w:t>the</w:t>
      </w:r>
      <w:r>
        <w:rPr>
          <w:spacing w:val="-3"/>
        </w:rPr>
        <w:t xml:space="preserve"> </w:t>
      </w:r>
      <w:r>
        <w:t>desired</w:t>
      </w:r>
      <w:r>
        <w:rPr>
          <w:spacing w:val="-3"/>
        </w:rPr>
        <w:t xml:space="preserve"> </w:t>
      </w:r>
      <w:r>
        <w:t xml:space="preserve">environmental </w:t>
      </w:r>
      <w:r>
        <w:rPr>
          <w:spacing w:val="-2"/>
        </w:rPr>
        <w:t>outcomes.</w:t>
      </w:r>
    </w:p>
    <w:p w14:paraId="2115D294" w14:textId="77777777" w:rsidR="00483D15" w:rsidRDefault="00483D15">
      <w:pPr>
        <w:pStyle w:val="ListParagraph"/>
        <w:spacing w:line="360" w:lineRule="auto"/>
        <w:sectPr w:rsidR="00483D15">
          <w:pgSz w:w="11910" w:h="16840"/>
          <w:pgMar w:top="1340" w:right="566" w:bottom="1200" w:left="992" w:header="0" w:footer="1000" w:gutter="0"/>
          <w:cols w:space="720"/>
        </w:sectPr>
      </w:pPr>
    </w:p>
    <w:p w14:paraId="5D3C3B0D" w14:textId="77777777" w:rsidR="00483D15" w:rsidRDefault="00000000">
      <w:pPr>
        <w:pStyle w:val="Heading3"/>
        <w:ind w:left="448"/>
      </w:pPr>
      <w:r>
        <w:lastRenderedPageBreak/>
        <w:t>APPENDIX</w:t>
      </w:r>
      <w:r>
        <w:rPr>
          <w:spacing w:val="-3"/>
        </w:rPr>
        <w:t xml:space="preserve"> </w:t>
      </w:r>
      <w:r>
        <w:t>A</w:t>
      </w:r>
      <w:r>
        <w:rPr>
          <w:spacing w:val="-3"/>
        </w:rPr>
        <w:t xml:space="preserve"> </w:t>
      </w:r>
      <w:r>
        <w:t>–</w:t>
      </w:r>
      <w:r>
        <w:rPr>
          <w:spacing w:val="-3"/>
        </w:rPr>
        <w:t xml:space="preserve"> </w:t>
      </w:r>
      <w:r>
        <w:t>TRANSITIONAL</w:t>
      </w:r>
      <w:r>
        <w:rPr>
          <w:spacing w:val="-2"/>
        </w:rPr>
        <w:t xml:space="preserve"> REVIEW</w:t>
      </w:r>
    </w:p>
    <w:p w14:paraId="6AB23FE8" w14:textId="77777777" w:rsidR="00483D15" w:rsidRDefault="00000000">
      <w:pPr>
        <w:pStyle w:val="BodyText"/>
        <w:spacing w:before="258" w:line="360" w:lineRule="auto"/>
        <w:ind w:left="22" w:right="923"/>
      </w:pPr>
      <w:r>
        <w:t>A</w:t>
      </w:r>
      <w:r>
        <w:rPr>
          <w:spacing w:val="-3"/>
        </w:rPr>
        <w:t xml:space="preserve"> </w:t>
      </w:r>
      <w:r>
        <w:t>non-statutory</w:t>
      </w:r>
      <w:r>
        <w:rPr>
          <w:spacing w:val="-3"/>
        </w:rPr>
        <w:t xml:space="preserve"> </w:t>
      </w:r>
      <w:r>
        <w:t>transitional</w:t>
      </w:r>
      <w:r>
        <w:rPr>
          <w:spacing w:val="-3"/>
        </w:rPr>
        <w:t xml:space="preserve"> </w:t>
      </w:r>
      <w:r>
        <w:t>review</w:t>
      </w:r>
      <w:r>
        <w:rPr>
          <w:spacing w:val="-3"/>
        </w:rPr>
        <w:t xml:space="preserve"> </w:t>
      </w:r>
      <w:r>
        <w:t>focused</w:t>
      </w:r>
      <w:r>
        <w:rPr>
          <w:spacing w:val="-3"/>
        </w:rPr>
        <w:t xml:space="preserve"> </w:t>
      </w:r>
      <w:r>
        <w:t>on</w:t>
      </w:r>
      <w:r>
        <w:rPr>
          <w:spacing w:val="-2"/>
        </w:rPr>
        <w:t xml:space="preserve"> </w:t>
      </w:r>
      <w:r>
        <w:t>the</w:t>
      </w:r>
      <w:r>
        <w:rPr>
          <w:spacing w:val="-3"/>
        </w:rPr>
        <w:t xml:space="preserve"> </w:t>
      </w:r>
      <w:r>
        <w:t>parties’</w:t>
      </w:r>
      <w:r>
        <w:rPr>
          <w:spacing w:val="-3"/>
        </w:rPr>
        <w:t xml:space="preserve"> </w:t>
      </w:r>
      <w:r>
        <w:t>progress</w:t>
      </w:r>
      <w:r>
        <w:rPr>
          <w:spacing w:val="-3"/>
        </w:rPr>
        <w:t xml:space="preserve"> </w:t>
      </w:r>
      <w:r>
        <w:t>in</w:t>
      </w:r>
      <w:r>
        <w:rPr>
          <w:spacing w:val="-3"/>
        </w:rPr>
        <w:t xml:space="preserve"> </w:t>
      </w:r>
      <w:r>
        <w:t>implementing</w:t>
      </w:r>
      <w:r>
        <w:rPr>
          <w:spacing w:val="-2"/>
        </w:rPr>
        <w:t xml:space="preserve"> </w:t>
      </w:r>
      <w:r>
        <w:t>the</w:t>
      </w:r>
      <w:r>
        <w:rPr>
          <w:spacing w:val="-3"/>
        </w:rPr>
        <w:t xml:space="preserve"> </w:t>
      </w:r>
      <w:r>
        <w:t>Agreement between 26 February 2015 and 26 February 2017, particularly with regards to:</w:t>
      </w:r>
    </w:p>
    <w:p w14:paraId="534A8D7C" w14:textId="77777777" w:rsidR="00483D15" w:rsidRDefault="00000000">
      <w:pPr>
        <w:pStyle w:val="ListParagraph"/>
        <w:numPr>
          <w:ilvl w:val="1"/>
          <w:numId w:val="23"/>
        </w:numPr>
        <w:tabs>
          <w:tab w:val="left" w:pos="807"/>
        </w:tabs>
        <w:spacing w:before="118"/>
        <w:ind w:hanging="359"/>
      </w:pPr>
      <w:r>
        <w:t>Referrals</w:t>
      </w:r>
      <w:r>
        <w:rPr>
          <w:spacing w:val="-9"/>
        </w:rPr>
        <w:t xml:space="preserve"> </w:t>
      </w:r>
      <w:r>
        <w:t>of</w:t>
      </w:r>
      <w:r>
        <w:rPr>
          <w:spacing w:val="-9"/>
        </w:rPr>
        <w:t xml:space="preserve"> </w:t>
      </w:r>
      <w:r>
        <w:t>proposed</w:t>
      </w:r>
      <w:r>
        <w:rPr>
          <w:spacing w:val="-9"/>
        </w:rPr>
        <w:t xml:space="preserve"> </w:t>
      </w:r>
      <w:r>
        <w:rPr>
          <w:spacing w:val="-2"/>
        </w:rPr>
        <w:t>actions;</w:t>
      </w:r>
    </w:p>
    <w:p w14:paraId="6E229E98" w14:textId="77777777" w:rsidR="00483D15" w:rsidRDefault="00000000">
      <w:pPr>
        <w:pStyle w:val="ListParagraph"/>
        <w:numPr>
          <w:ilvl w:val="1"/>
          <w:numId w:val="23"/>
        </w:numPr>
        <w:tabs>
          <w:tab w:val="left" w:pos="807"/>
        </w:tabs>
        <w:spacing w:before="255"/>
        <w:ind w:hanging="359"/>
      </w:pPr>
      <w:r>
        <w:t>Assessment</w:t>
      </w:r>
      <w:r>
        <w:rPr>
          <w:spacing w:val="-9"/>
        </w:rPr>
        <w:t xml:space="preserve"> </w:t>
      </w:r>
      <w:r>
        <w:t>of</w:t>
      </w:r>
      <w:r>
        <w:rPr>
          <w:spacing w:val="-9"/>
        </w:rPr>
        <w:t xml:space="preserve"> </w:t>
      </w:r>
      <w:r>
        <w:rPr>
          <w:spacing w:val="-4"/>
        </w:rPr>
        <w:t>MNES;</w:t>
      </w:r>
    </w:p>
    <w:p w14:paraId="412B112C" w14:textId="77777777" w:rsidR="00483D15" w:rsidRDefault="00000000">
      <w:pPr>
        <w:pStyle w:val="ListParagraph"/>
        <w:numPr>
          <w:ilvl w:val="1"/>
          <w:numId w:val="23"/>
        </w:numPr>
        <w:tabs>
          <w:tab w:val="left" w:pos="807"/>
        </w:tabs>
        <w:spacing w:before="254"/>
        <w:ind w:hanging="359"/>
      </w:pPr>
      <w:r>
        <w:t>Relevant</w:t>
      </w:r>
      <w:r>
        <w:rPr>
          <w:spacing w:val="-9"/>
        </w:rPr>
        <w:t xml:space="preserve"> </w:t>
      </w:r>
      <w:r>
        <w:t>plans,</w:t>
      </w:r>
      <w:r>
        <w:rPr>
          <w:spacing w:val="-10"/>
        </w:rPr>
        <w:t xml:space="preserve"> </w:t>
      </w:r>
      <w:r>
        <w:t>policies</w:t>
      </w:r>
      <w:r>
        <w:rPr>
          <w:spacing w:val="-9"/>
        </w:rPr>
        <w:t xml:space="preserve"> </w:t>
      </w:r>
      <w:r>
        <w:t>and</w:t>
      </w:r>
      <w:r>
        <w:rPr>
          <w:spacing w:val="-10"/>
        </w:rPr>
        <w:t xml:space="preserve"> </w:t>
      </w:r>
      <w:r>
        <w:t>other</w:t>
      </w:r>
      <w:r>
        <w:rPr>
          <w:spacing w:val="-8"/>
        </w:rPr>
        <w:t xml:space="preserve"> </w:t>
      </w:r>
      <w:r>
        <w:t>instruments;</w:t>
      </w:r>
      <w:r>
        <w:rPr>
          <w:spacing w:val="-9"/>
        </w:rPr>
        <w:t xml:space="preserve"> </w:t>
      </w:r>
      <w:r>
        <w:rPr>
          <w:spacing w:val="-5"/>
        </w:rPr>
        <w:t>and</w:t>
      </w:r>
    </w:p>
    <w:p w14:paraId="2C3EAAD0" w14:textId="77777777" w:rsidR="00483D15" w:rsidRDefault="00000000">
      <w:pPr>
        <w:pStyle w:val="ListParagraph"/>
        <w:numPr>
          <w:ilvl w:val="1"/>
          <w:numId w:val="23"/>
        </w:numPr>
        <w:tabs>
          <w:tab w:val="left" w:pos="807"/>
        </w:tabs>
        <w:spacing w:before="255"/>
      </w:pPr>
      <w:r>
        <w:t>Communications</w:t>
      </w:r>
      <w:r>
        <w:rPr>
          <w:spacing w:val="-12"/>
        </w:rPr>
        <w:t xml:space="preserve"> </w:t>
      </w:r>
      <w:r>
        <w:t>and</w:t>
      </w:r>
      <w:r>
        <w:rPr>
          <w:spacing w:val="-11"/>
        </w:rPr>
        <w:t xml:space="preserve"> </w:t>
      </w:r>
      <w:r>
        <w:t>collaborative</w:t>
      </w:r>
      <w:r>
        <w:rPr>
          <w:spacing w:val="-13"/>
        </w:rPr>
        <w:t xml:space="preserve"> </w:t>
      </w:r>
      <w:r>
        <w:t>approaches</w:t>
      </w:r>
      <w:r>
        <w:rPr>
          <w:spacing w:val="-12"/>
        </w:rPr>
        <w:t xml:space="preserve"> </w:t>
      </w:r>
      <w:r>
        <w:t>between</w:t>
      </w:r>
      <w:r>
        <w:rPr>
          <w:spacing w:val="-11"/>
        </w:rPr>
        <w:t xml:space="preserve"> </w:t>
      </w:r>
      <w:r>
        <w:t>the</w:t>
      </w:r>
      <w:r>
        <w:rPr>
          <w:spacing w:val="-12"/>
        </w:rPr>
        <w:t xml:space="preserve"> </w:t>
      </w:r>
      <w:r>
        <w:rPr>
          <w:spacing w:val="-2"/>
        </w:rPr>
        <w:t>parties.</w:t>
      </w:r>
    </w:p>
    <w:p w14:paraId="7B2BC1A1" w14:textId="77777777" w:rsidR="00483D15" w:rsidRDefault="00000000">
      <w:pPr>
        <w:pStyle w:val="BodyText"/>
        <w:spacing w:before="255" w:line="360" w:lineRule="auto"/>
        <w:ind w:left="21" w:right="923"/>
      </w:pPr>
      <w:r>
        <w:t>The</w:t>
      </w:r>
      <w:r>
        <w:rPr>
          <w:spacing w:val="-4"/>
        </w:rPr>
        <w:t xml:space="preserve"> </w:t>
      </w:r>
      <w:r>
        <w:t>review</w:t>
      </w:r>
      <w:r>
        <w:rPr>
          <w:spacing w:val="-3"/>
        </w:rPr>
        <w:t xml:space="preserve"> </w:t>
      </w:r>
      <w:r>
        <w:t>considered</w:t>
      </w:r>
      <w:r>
        <w:rPr>
          <w:spacing w:val="-3"/>
        </w:rPr>
        <w:t xml:space="preserve"> </w:t>
      </w:r>
      <w:r>
        <w:t>the</w:t>
      </w:r>
      <w:r>
        <w:rPr>
          <w:spacing w:val="-4"/>
        </w:rPr>
        <w:t xml:space="preserve"> </w:t>
      </w:r>
      <w:r>
        <w:t>projects</w:t>
      </w:r>
      <w:r>
        <w:rPr>
          <w:spacing w:val="-4"/>
        </w:rPr>
        <w:t xml:space="preserve"> </w:t>
      </w:r>
      <w:r>
        <w:t>that</w:t>
      </w:r>
      <w:r>
        <w:rPr>
          <w:spacing w:val="-4"/>
        </w:rPr>
        <w:t xml:space="preserve"> </w:t>
      </w:r>
      <w:r>
        <w:t>were</w:t>
      </w:r>
      <w:r>
        <w:rPr>
          <w:spacing w:val="-3"/>
        </w:rPr>
        <w:t xml:space="preserve"> </w:t>
      </w:r>
      <w:r>
        <w:t>being</w:t>
      </w:r>
      <w:r>
        <w:rPr>
          <w:spacing w:val="-3"/>
        </w:rPr>
        <w:t xml:space="preserve"> </w:t>
      </w:r>
      <w:r>
        <w:t>assessed</w:t>
      </w:r>
      <w:r>
        <w:rPr>
          <w:spacing w:val="-4"/>
        </w:rPr>
        <w:t xml:space="preserve"> </w:t>
      </w:r>
      <w:r>
        <w:t>under</w:t>
      </w:r>
      <w:r>
        <w:rPr>
          <w:spacing w:val="-4"/>
        </w:rPr>
        <w:t xml:space="preserve"> </w:t>
      </w:r>
      <w:r>
        <w:t>the</w:t>
      </w:r>
      <w:r>
        <w:rPr>
          <w:spacing w:val="-4"/>
        </w:rPr>
        <w:t xml:space="preserve"> </w:t>
      </w:r>
      <w:r>
        <w:t>Agreement</w:t>
      </w:r>
      <w:r>
        <w:rPr>
          <w:spacing w:val="-3"/>
        </w:rPr>
        <w:t xml:space="preserve"> </w:t>
      </w:r>
      <w:r>
        <w:t>during</w:t>
      </w:r>
      <w:r>
        <w:rPr>
          <w:spacing w:val="-3"/>
        </w:rPr>
        <w:t xml:space="preserve"> </w:t>
      </w:r>
      <w:r>
        <w:t>the</w:t>
      </w:r>
      <w:r>
        <w:rPr>
          <w:spacing w:val="-4"/>
        </w:rPr>
        <w:t xml:space="preserve"> </w:t>
      </w:r>
      <w:r>
        <w:t xml:space="preserve">review </w:t>
      </w:r>
      <w:r>
        <w:rPr>
          <w:spacing w:val="-2"/>
        </w:rPr>
        <w:t>period.</w:t>
      </w:r>
    </w:p>
    <w:p w14:paraId="58B0360C" w14:textId="77777777" w:rsidR="00483D15" w:rsidRDefault="00000000">
      <w:pPr>
        <w:pStyle w:val="BodyText"/>
        <w:spacing w:before="121" w:line="360" w:lineRule="auto"/>
        <w:ind w:left="21" w:right="923"/>
      </w:pPr>
      <w:r>
        <w:t>The</w:t>
      </w:r>
      <w:r>
        <w:rPr>
          <w:spacing w:val="-4"/>
        </w:rPr>
        <w:t xml:space="preserve"> </w:t>
      </w:r>
      <w:r>
        <w:t>review</w:t>
      </w:r>
      <w:r>
        <w:rPr>
          <w:spacing w:val="-4"/>
        </w:rPr>
        <w:t xml:space="preserve"> </w:t>
      </w:r>
      <w:r>
        <w:t>identified</w:t>
      </w:r>
      <w:r>
        <w:rPr>
          <w:spacing w:val="-4"/>
        </w:rPr>
        <w:t xml:space="preserve"> </w:t>
      </w:r>
      <w:r>
        <w:t>that</w:t>
      </w:r>
      <w:r>
        <w:rPr>
          <w:spacing w:val="-3"/>
        </w:rPr>
        <w:t xml:space="preserve"> </w:t>
      </w:r>
      <w:r>
        <w:t>the</w:t>
      </w:r>
      <w:r>
        <w:rPr>
          <w:spacing w:val="-3"/>
        </w:rPr>
        <w:t xml:space="preserve"> </w:t>
      </w:r>
      <w:r>
        <w:t>parties</w:t>
      </w:r>
      <w:r>
        <w:rPr>
          <w:spacing w:val="-2"/>
        </w:rPr>
        <w:t xml:space="preserve"> </w:t>
      </w:r>
      <w:r>
        <w:t>had</w:t>
      </w:r>
      <w:r>
        <w:rPr>
          <w:spacing w:val="-4"/>
        </w:rPr>
        <w:t xml:space="preserve"> </w:t>
      </w:r>
      <w:r>
        <w:t>made</w:t>
      </w:r>
      <w:r>
        <w:rPr>
          <w:spacing w:val="-3"/>
        </w:rPr>
        <w:t xml:space="preserve"> </w:t>
      </w:r>
      <w:r>
        <w:t>significant</w:t>
      </w:r>
      <w:r>
        <w:rPr>
          <w:spacing w:val="-3"/>
        </w:rPr>
        <w:t xml:space="preserve"> </w:t>
      </w:r>
      <w:r>
        <w:t>progress</w:t>
      </w:r>
      <w:r>
        <w:rPr>
          <w:spacing w:val="-4"/>
        </w:rPr>
        <w:t xml:space="preserve"> </w:t>
      </w:r>
      <w:r>
        <w:t>in</w:t>
      </w:r>
      <w:r>
        <w:rPr>
          <w:spacing w:val="-4"/>
        </w:rPr>
        <w:t xml:space="preserve"> </w:t>
      </w:r>
      <w:r>
        <w:t>implementing</w:t>
      </w:r>
      <w:r>
        <w:rPr>
          <w:spacing w:val="-3"/>
        </w:rPr>
        <w:t xml:space="preserve"> </w:t>
      </w:r>
      <w:r>
        <w:t>the</w:t>
      </w:r>
      <w:r>
        <w:rPr>
          <w:spacing w:val="-4"/>
        </w:rPr>
        <w:t xml:space="preserve"> </w:t>
      </w:r>
      <w:r>
        <w:t>Agreement, resulting in:</w:t>
      </w:r>
    </w:p>
    <w:p w14:paraId="7B164E3C" w14:textId="77777777" w:rsidR="00483D15" w:rsidRDefault="00000000">
      <w:pPr>
        <w:pStyle w:val="ListParagraph"/>
        <w:numPr>
          <w:ilvl w:val="1"/>
          <w:numId w:val="23"/>
        </w:numPr>
        <w:tabs>
          <w:tab w:val="left" w:pos="807"/>
        </w:tabs>
        <w:spacing w:before="118"/>
      </w:pPr>
      <w:r>
        <w:t>Increased</w:t>
      </w:r>
      <w:r>
        <w:rPr>
          <w:spacing w:val="-8"/>
        </w:rPr>
        <w:t xml:space="preserve"> </w:t>
      </w:r>
      <w:r>
        <w:t>awareness</w:t>
      </w:r>
      <w:r>
        <w:rPr>
          <w:spacing w:val="-8"/>
        </w:rPr>
        <w:t xml:space="preserve"> </w:t>
      </w:r>
      <w:r>
        <w:t>of</w:t>
      </w:r>
      <w:r>
        <w:rPr>
          <w:spacing w:val="-8"/>
        </w:rPr>
        <w:t xml:space="preserve"> </w:t>
      </w:r>
      <w:r>
        <w:t>the</w:t>
      </w:r>
      <w:r>
        <w:rPr>
          <w:spacing w:val="-9"/>
        </w:rPr>
        <w:t xml:space="preserve"> </w:t>
      </w:r>
      <w:r>
        <w:t>parties’</w:t>
      </w:r>
      <w:r>
        <w:rPr>
          <w:spacing w:val="-8"/>
        </w:rPr>
        <w:t xml:space="preserve"> </w:t>
      </w:r>
      <w:r>
        <w:t>obligations</w:t>
      </w:r>
      <w:r>
        <w:rPr>
          <w:spacing w:val="-8"/>
        </w:rPr>
        <w:t xml:space="preserve"> </w:t>
      </w:r>
      <w:r>
        <w:t>under</w:t>
      </w:r>
      <w:r>
        <w:rPr>
          <w:spacing w:val="-9"/>
        </w:rPr>
        <w:t xml:space="preserve"> </w:t>
      </w:r>
      <w:r>
        <w:t>the</w:t>
      </w:r>
      <w:r>
        <w:rPr>
          <w:spacing w:val="-7"/>
        </w:rPr>
        <w:t xml:space="preserve"> </w:t>
      </w:r>
      <w:r>
        <w:t>EPBC</w:t>
      </w:r>
      <w:r>
        <w:rPr>
          <w:spacing w:val="-8"/>
        </w:rPr>
        <w:t xml:space="preserve"> </w:t>
      </w:r>
      <w:r>
        <w:t>Act;</w:t>
      </w:r>
      <w:r>
        <w:rPr>
          <w:spacing w:val="-8"/>
        </w:rPr>
        <w:t xml:space="preserve"> </w:t>
      </w:r>
      <w:r>
        <w:rPr>
          <w:spacing w:val="-5"/>
        </w:rPr>
        <w:t>and</w:t>
      </w:r>
    </w:p>
    <w:p w14:paraId="21C458DF" w14:textId="77777777" w:rsidR="00483D15" w:rsidRDefault="00000000">
      <w:pPr>
        <w:pStyle w:val="ListParagraph"/>
        <w:numPr>
          <w:ilvl w:val="1"/>
          <w:numId w:val="23"/>
        </w:numPr>
        <w:tabs>
          <w:tab w:val="left" w:pos="807"/>
        </w:tabs>
        <w:spacing w:before="254" w:line="357" w:lineRule="auto"/>
        <w:ind w:right="1540"/>
      </w:pPr>
      <w:r>
        <w:t>Increased</w:t>
      </w:r>
      <w:r>
        <w:rPr>
          <w:spacing w:val="-4"/>
        </w:rPr>
        <w:t xml:space="preserve"> </w:t>
      </w:r>
      <w:r>
        <w:t>consistency</w:t>
      </w:r>
      <w:r>
        <w:rPr>
          <w:spacing w:val="-4"/>
        </w:rPr>
        <w:t xml:space="preserve"> </w:t>
      </w:r>
      <w:r>
        <w:t>and</w:t>
      </w:r>
      <w:r>
        <w:rPr>
          <w:spacing w:val="-4"/>
        </w:rPr>
        <w:t xml:space="preserve"> </w:t>
      </w:r>
      <w:r>
        <w:t>coordination</w:t>
      </w:r>
      <w:r>
        <w:rPr>
          <w:spacing w:val="-4"/>
        </w:rPr>
        <w:t xml:space="preserve"> </w:t>
      </w:r>
      <w:r>
        <w:t>in</w:t>
      </w:r>
      <w:r>
        <w:rPr>
          <w:spacing w:val="-4"/>
        </w:rPr>
        <w:t xml:space="preserve"> </w:t>
      </w:r>
      <w:r>
        <w:t>the</w:t>
      </w:r>
      <w:r>
        <w:rPr>
          <w:spacing w:val="-4"/>
        </w:rPr>
        <w:t xml:space="preserve"> </w:t>
      </w:r>
      <w:r>
        <w:t>issuing</w:t>
      </w:r>
      <w:r>
        <w:rPr>
          <w:spacing w:val="-4"/>
        </w:rPr>
        <w:t xml:space="preserve"> </w:t>
      </w:r>
      <w:r>
        <w:t>of</w:t>
      </w:r>
      <w:r>
        <w:rPr>
          <w:spacing w:val="-5"/>
        </w:rPr>
        <w:t xml:space="preserve"> </w:t>
      </w:r>
      <w:r>
        <w:t>Australian</w:t>
      </w:r>
      <w:r>
        <w:rPr>
          <w:spacing w:val="-4"/>
        </w:rPr>
        <w:t xml:space="preserve"> </w:t>
      </w:r>
      <w:r>
        <w:t>Government</w:t>
      </w:r>
      <w:r>
        <w:rPr>
          <w:spacing w:val="-3"/>
        </w:rPr>
        <w:t xml:space="preserve"> </w:t>
      </w:r>
      <w:r>
        <w:t>and</w:t>
      </w:r>
      <w:r>
        <w:rPr>
          <w:spacing w:val="-4"/>
        </w:rPr>
        <w:t xml:space="preserve"> </w:t>
      </w:r>
      <w:r>
        <w:t>NSW environmental assessment requirements.</w:t>
      </w:r>
    </w:p>
    <w:p w14:paraId="04922D45" w14:textId="77777777" w:rsidR="00483D15" w:rsidRDefault="00000000">
      <w:pPr>
        <w:pStyle w:val="BodyText"/>
        <w:spacing w:before="127" w:line="360" w:lineRule="auto"/>
        <w:ind w:left="21" w:right="938"/>
      </w:pPr>
      <w:r>
        <w:t>The review also identified that there are some aspects of the Agreement’s operation that could be improved (Table A1). As can be seen in the table, many of the areas for improvement are being addressed</w:t>
      </w:r>
      <w:r>
        <w:rPr>
          <w:spacing w:val="-4"/>
        </w:rPr>
        <w:t xml:space="preserve"> </w:t>
      </w:r>
      <w:r>
        <w:t>through</w:t>
      </w:r>
      <w:r>
        <w:rPr>
          <w:spacing w:val="-4"/>
        </w:rPr>
        <w:t xml:space="preserve"> </w:t>
      </w:r>
      <w:proofErr w:type="gramStart"/>
      <w:r>
        <w:t>the</w:t>
      </w:r>
      <w:r>
        <w:rPr>
          <w:spacing w:val="-4"/>
        </w:rPr>
        <w:t xml:space="preserve"> </w:t>
      </w:r>
      <w:r>
        <w:t>BIF</w:t>
      </w:r>
      <w:proofErr w:type="gramEnd"/>
      <w:r>
        <w:t>,</w:t>
      </w:r>
      <w:r>
        <w:rPr>
          <w:spacing w:val="-4"/>
        </w:rPr>
        <w:t xml:space="preserve"> </w:t>
      </w:r>
      <w:r>
        <w:t>including</w:t>
      </w:r>
      <w:r>
        <w:rPr>
          <w:spacing w:val="-3"/>
        </w:rPr>
        <w:t xml:space="preserve"> </w:t>
      </w:r>
      <w:r>
        <w:t>the</w:t>
      </w:r>
      <w:r>
        <w:rPr>
          <w:spacing w:val="-4"/>
        </w:rPr>
        <w:t xml:space="preserve"> </w:t>
      </w:r>
      <w:r>
        <w:t>Monitoring</w:t>
      </w:r>
      <w:r>
        <w:rPr>
          <w:spacing w:val="-2"/>
        </w:rPr>
        <w:t xml:space="preserve"> </w:t>
      </w:r>
      <w:r>
        <w:t>Evaluation</w:t>
      </w:r>
      <w:r>
        <w:rPr>
          <w:spacing w:val="-4"/>
        </w:rPr>
        <w:t xml:space="preserve"> </w:t>
      </w:r>
      <w:r>
        <w:t>and</w:t>
      </w:r>
      <w:r>
        <w:rPr>
          <w:spacing w:val="-4"/>
        </w:rPr>
        <w:t xml:space="preserve"> </w:t>
      </w:r>
      <w:r>
        <w:t>Reporting</w:t>
      </w:r>
      <w:r>
        <w:rPr>
          <w:spacing w:val="-4"/>
        </w:rPr>
        <w:t xml:space="preserve"> </w:t>
      </w:r>
      <w:r>
        <w:t>Strategy</w:t>
      </w:r>
      <w:r>
        <w:rPr>
          <w:spacing w:val="-4"/>
        </w:rPr>
        <w:t xml:space="preserve"> </w:t>
      </w:r>
      <w:r>
        <w:t>and</w:t>
      </w:r>
      <w:r>
        <w:rPr>
          <w:spacing w:val="-4"/>
        </w:rPr>
        <w:t xml:space="preserve"> </w:t>
      </w:r>
      <w:r>
        <w:t>Assessment Support Strategy.</w:t>
      </w:r>
    </w:p>
    <w:p w14:paraId="76DF63C4" w14:textId="77777777" w:rsidR="00483D15" w:rsidRDefault="00000000" w:rsidP="003B297C">
      <w:pPr>
        <w:pStyle w:val="Caption"/>
      </w:pPr>
      <w:r>
        <w:t>Table</w:t>
      </w:r>
      <w:r>
        <w:rPr>
          <w:spacing w:val="-7"/>
        </w:rPr>
        <w:t xml:space="preserve"> </w:t>
      </w:r>
      <w:r>
        <w:t>A1</w:t>
      </w:r>
      <w:r>
        <w:rPr>
          <w:spacing w:val="-6"/>
        </w:rPr>
        <w:t xml:space="preserve"> </w:t>
      </w:r>
      <w:r>
        <w:t>|</w:t>
      </w:r>
      <w:r>
        <w:rPr>
          <w:spacing w:val="-6"/>
        </w:rPr>
        <w:t xml:space="preserve"> </w:t>
      </w:r>
      <w:r>
        <w:t>Transitional</w:t>
      </w:r>
      <w:r>
        <w:rPr>
          <w:spacing w:val="-7"/>
        </w:rPr>
        <w:t xml:space="preserve"> </w:t>
      </w:r>
      <w:r>
        <w:t>review</w:t>
      </w:r>
      <w:r>
        <w:rPr>
          <w:spacing w:val="-7"/>
        </w:rPr>
        <w:t xml:space="preserve"> </w:t>
      </w:r>
      <w:r>
        <w:t>-</w:t>
      </w:r>
      <w:r>
        <w:rPr>
          <w:spacing w:val="-7"/>
        </w:rPr>
        <w:t xml:space="preserve"> </w:t>
      </w:r>
      <w:r>
        <w:t>Priority</w:t>
      </w:r>
      <w:r>
        <w:rPr>
          <w:spacing w:val="-4"/>
        </w:rPr>
        <w:t xml:space="preserve"> </w:t>
      </w:r>
      <w:r>
        <w:t>initiatives</w:t>
      </w:r>
      <w:r>
        <w:rPr>
          <w:spacing w:val="-7"/>
        </w:rPr>
        <w:t xml:space="preserve"> </w:t>
      </w:r>
      <w:r>
        <w:t>for</w:t>
      </w:r>
      <w:r>
        <w:rPr>
          <w:spacing w:val="-6"/>
        </w:rPr>
        <w:t xml:space="preserve"> </w:t>
      </w:r>
      <w:r>
        <w:rPr>
          <w:spacing w:val="-2"/>
        </w:rPr>
        <w:t>improvement</w:t>
      </w:r>
    </w:p>
    <w:p w14:paraId="73033CC7" w14:textId="77777777" w:rsidR="00483D15" w:rsidRDefault="00483D15">
      <w:pPr>
        <w:pStyle w:val="BodyText"/>
        <w:spacing w:before="10"/>
        <w:rPr>
          <w:sz w:val="20"/>
        </w:rPr>
      </w:pPr>
    </w:p>
    <w:tbl>
      <w:tblPr>
        <w:tblW w:w="0" w:type="auto"/>
        <w:tblInd w:w="3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5951"/>
        <w:gridCol w:w="3499"/>
      </w:tblGrid>
      <w:tr w:rsidR="00483D15" w14:paraId="4ECD500C" w14:textId="77777777">
        <w:trPr>
          <w:trHeight w:val="299"/>
        </w:trPr>
        <w:tc>
          <w:tcPr>
            <w:tcW w:w="5951" w:type="dxa"/>
          </w:tcPr>
          <w:p w14:paraId="5E3F91C2" w14:textId="77777777" w:rsidR="00483D15" w:rsidRDefault="00000000">
            <w:pPr>
              <w:pStyle w:val="TableParagraph"/>
              <w:spacing w:line="243" w:lineRule="exact"/>
              <w:ind w:left="107"/>
              <w:rPr>
                <w:b/>
                <w:sz w:val="20"/>
              </w:rPr>
            </w:pPr>
            <w:r>
              <w:rPr>
                <w:b/>
                <w:sz w:val="20"/>
              </w:rPr>
              <w:t>Priority</w:t>
            </w:r>
            <w:r>
              <w:rPr>
                <w:b/>
                <w:spacing w:val="-5"/>
                <w:sz w:val="20"/>
              </w:rPr>
              <w:t xml:space="preserve"> </w:t>
            </w:r>
            <w:r>
              <w:rPr>
                <w:b/>
                <w:sz w:val="20"/>
              </w:rPr>
              <w:t>initiatives</w:t>
            </w:r>
            <w:r>
              <w:rPr>
                <w:b/>
                <w:spacing w:val="-4"/>
                <w:sz w:val="20"/>
              </w:rPr>
              <w:t xml:space="preserve"> </w:t>
            </w:r>
            <w:r>
              <w:rPr>
                <w:b/>
                <w:sz w:val="20"/>
              </w:rPr>
              <w:t>for</w:t>
            </w:r>
            <w:r>
              <w:rPr>
                <w:b/>
                <w:spacing w:val="-5"/>
                <w:sz w:val="20"/>
              </w:rPr>
              <w:t xml:space="preserve"> </w:t>
            </w:r>
            <w:r>
              <w:rPr>
                <w:b/>
                <w:spacing w:val="-2"/>
                <w:sz w:val="20"/>
              </w:rPr>
              <w:t>improvement</w:t>
            </w:r>
          </w:p>
        </w:tc>
        <w:tc>
          <w:tcPr>
            <w:tcW w:w="3499" w:type="dxa"/>
          </w:tcPr>
          <w:p w14:paraId="47C795DE" w14:textId="77777777" w:rsidR="00483D15" w:rsidRDefault="00000000">
            <w:pPr>
              <w:pStyle w:val="TableParagraph"/>
              <w:spacing w:line="243" w:lineRule="exact"/>
              <w:ind w:left="106"/>
              <w:rPr>
                <w:b/>
                <w:sz w:val="20"/>
              </w:rPr>
            </w:pPr>
            <w:r>
              <w:rPr>
                <w:b/>
                <w:sz w:val="20"/>
              </w:rPr>
              <w:t>Action</w:t>
            </w:r>
            <w:r>
              <w:rPr>
                <w:b/>
                <w:spacing w:val="-2"/>
                <w:sz w:val="20"/>
              </w:rPr>
              <w:t xml:space="preserve"> </w:t>
            </w:r>
            <w:r>
              <w:rPr>
                <w:b/>
                <w:sz w:val="20"/>
              </w:rPr>
              <w:t>to</w:t>
            </w:r>
            <w:r>
              <w:rPr>
                <w:b/>
                <w:spacing w:val="-2"/>
                <w:sz w:val="20"/>
              </w:rPr>
              <w:t xml:space="preserve"> </w:t>
            </w:r>
            <w:r>
              <w:rPr>
                <w:b/>
                <w:spacing w:val="-4"/>
                <w:sz w:val="20"/>
              </w:rPr>
              <w:t>date</w:t>
            </w:r>
          </w:p>
        </w:tc>
      </w:tr>
      <w:tr w:rsidR="00483D15" w14:paraId="3EE718DB" w14:textId="77777777">
        <w:trPr>
          <w:trHeight w:val="244"/>
        </w:trPr>
        <w:tc>
          <w:tcPr>
            <w:tcW w:w="9450" w:type="dxa"/>
            <w:gridSpan w:val="2"/>
          </w:tcPr>
          <w:p w14:paraId="3584B380" w14:textId="77777777" w:rsidR="00483D15" w:rsidRDefault="00000000">
            <w:pPr>
              <w:pStyle w:val="TableParagraph"/>
              <w:spacing w:line="224" w:lineRule="exact"/>
              <w:ind w:left="107"/>
              <w:rPr>
                <w:sz w:val="20"/>
              </w:rPr>
            </w:pPr>
            <w:r>
              <w:rPr>
                <w:sz w:val="20"/>
              </w:rPr>
              <w:t>Cooperative</w:t>
            </w:r>
            <w:r>
              <w:rPr>
                <w:spacing w:val="-5"/>
                <w:sz w:val="20"/>
              </w:rPr>
              <w:t xml:space="preserve"> </w:t>
            </w:r>
            <w:r>
              <w:rPr>
                <w:sz w:val="20"/>
              </w:rPr>
              <w:t>approach</w:t>
            </w:r>
            <w:r>
              <w:rPr>
                <w:spacing w:val="-5"/>
                <w:sz w:val="20"/>
              </w:rPr>
              <w:t xml:space="preserve"> </w:t>
            </w:r>
            <w:r>
              <w:rPr>
                <w:sz w:val="20"/>
              </w:rPr>
              <w:t>to</w:t>
            </w:r>
            <w:r>
              <w:rPr>
                <w:spacing w:val="-4"/>
                <w:sz w:val="20"/>
              </w:rPr>
              <w:t xml:space="preserve"> </w:t>
            </w:r>
            <w:r>
              <w:rPr>
                <w:spacing w:val="-2"/>
                <w:sz w:val="20"/>
              </w:rPr>
              <w:t>referrals</w:t>
            </w:r>
          </w:p>
        </w:tc>
      </w:tr>
      <w:tr w:rsidR="00483D15" w14:paraId="7A4EAD96" w14:textId="77777777">
        <w:trPr>
          <w:trHeight w:val="987"/>
        </w:trPr>
        <w:tc>
          <w:tcPr>
            <w:tcW w:w="5951" w:type="dxa"/>
          </w:tcPr>
          <w:p w14:paraId="42B15DDA" w14:textId="77777777" w:rsidR="00483D15" w:rsidRDefault="00000000">
            <w:pPr>
              <w:pStyle w:val="TableParagraph"/>
              <w:numPr>
                <w:ilvl w:val="0"/>
                <w:numId w:val="22"/>
              </w:numPr>
              <w:tabs>
                <w:tab w:val="left" w:pos="467"/>
              </w:tabs>
              <w:ind w:right="429"/>
              <w:rPr>
                <w:sz w:val="20"/>
              </w:rPr>
            </w:pPr>
            <w:r>
              <w:rPr>
                <w:sz w:val="20"/>
              </w:rPr>
              <w:t>NSW to consider approaches to increasing proponents’ awareness of potential obligations under the EPBC Act particularly</w:t>
            </w:r>
            <w:r>
              <w:rPr>
                <w:spacing w:val="-5"/>
                <w:sz w:val="20"/>
              </w:rPr>
              <w:t xml:space="preserve"> </w:t>
            </w:r>
            <w:r>
              <w:rPr>
                <w:sz w:val="20"/>
              </w:rPr>
              <w:t>in</w:t>
            </w:r>
            <w:r>
              <w:rPr>
                <w:spacing w:val="-6"/>
                <w:sz w:val="20"/>
              </w:rPr>
              <w:t xml:space="preserve"> </w:t>
            </w:r>
            <w:r>
              <w:rPr>
                <w:sz w:val="20"/>
              </w:rPr>
              <w:t>the</w:t>
            </w:r>
            <w:r>
              <w:rPr>
                <w:spacing w:val="-5"/>
                <w:sz w:val="20"/>
              </w:rPr>
              <w:t xml:space="preserve"> </w:t>
            </w:r>
            <w:r>
              <w:rPr>
                <w:sz w:val="20"/>
              </w:rPr>
              <w:t>early</w:t>
            </w:r>
            <w:r>
              <w:rPr>
                <w:spacing w:val="-6"/>
                <w:sz w:val="20"/>
              </w:rPr>
              <w:t xml:space="preserve"> </w:t>
            </w:r>
            <w:r>
              <w:rPr>
                <w:sz w:val="20"/>
              </w:rPr>
              <w:t>stages</w:t>
            </w:r>
            <w:r>
              <w:rPr>
                <w:spacing w:val="-5"/>
                <w:sz w:val="20"/>
              </w:rPr>
              <w:t xml:space="preserve"> </w:t>
            </w:r>
            <w:r>
              <w:rPr>
                <w:sz w:val="20"/>
              </w:rPr>
              <w:t>of</w:t>
            </w:r>
            <w:r>
              <w:rPr>
                <w:spacing w:val="-5"/>
                <w:sz w:val="20"/>
              </w:rPr>
              <w:t xml:space="preserve"> </w:t>
            </w:r>
            <w:r>
              <w:rPr>
                <w:sz w:val="20"/>
              </w:rPr>
              <w:t>the</w:t>
            </w:r>
            <w:r>
              <w:rPr>
                <w:spacing w:val="-6"/>
                <w:sz w:val="20"/>
              </w:rPr>
              <w:t xml:space="preserve"> </w:t>
            </w:r>
            <w:r>
              <w:rPr>
                <w:sz w:val="20"/>
              </w:rPr>
              <w:t>development</w:t>
            </w:r>
            <w:r>
              <w:rPr>
                <w:spacing w:val="-5"/>
                <w:sz w:val="20"/>
              </w:rPr>
              <w:t xml:space="preserve"> </w:t>
            </w:r>
            <w:r>
              <w:rPr>
                <w:sz w:val="20"/>
              </w:rPr>
              <w:t>application</w:t>
            </w:r>
          </w:p>
          <w:p w14:paraId="296A5B4C" w14:textId="77777777" w:rsidR="00483D15" w:rsidRDefault="00000000">
            <w:pPr>
              <w:pStyle w:val="TableParagraph"/>
              <w:spacing w:line="224" w:lineRule="exact"/>
              <w:ind w:left="467"/>
              <w:rPr>
                <w:sz w:val="20"/>
              </w:rPr>
            </w:pPr>
            <w:r>
              <w:rPr>
                <w:spacing w:val="-2"/>
                <w:sz w:val="20"/>
              </w:rPr>
              <w:t>process.</w:t>
            </w:r>
          </w:p>
        </w:tc>
        <w:tc>
          <w:tcPr>
            <w:tcW w:w="3499" w:type="dxa"/>
          </w:tcPr>
          <w:p w14:paraId="703D4A0C" w14:textId="77777777" w:rsidR="00483D15" w:rsidRDefault="00000000">
            <w:pPr>
              <w:pStyle w:val="TableParagraph"/>
              <w:spacing w:line="243" w:lineRule="exact"/>
              <w:ind w:left="106"/>
              <w:rPr>
                <w:sz w:val="20"/>
              </w:rPr>
            </w:pPr>
            <w:r>
              <w:rPr>
                <w:sz w:val="20"/>
              </w:rPr>
              <w:t>Addressed</w:t>
            </w:r>
            <w:r>
              <w:rPr>
                <w:spacing w:val="-5"/>
                <w:sz w:val="20"/>
              </w:rPr>
              <w:t xml:space="preserve"> </w:t>
            </w:r>
            <w:r>
              <w:rPr>
                <w:sz w:val="20"/>
              </w:rPr>
              <w:t>through</w:t>
            </w:r>
            <w:r>
              <w:rPr>
                <w:spacing w:val="-4"/>
                <w:sz w:val="20"/>
              </w:rPr>
              <w:t xml:space="preserve"> </w:t>
            </w:r>
            <w:r>
              <w:rPr>
                <w:sz w:val="20"/>
              </w:rPr>
              <w:t>SEARs</w:t>
            </w:r>
            <w:r>
              <w:rPr>
                <w:spacing w:val="-4"/>
                <w:sz w:val="20"/>
              </w:rPr>
              <w:t xml:space="preserve"> </w:t>
            </w:r>
            <w:r>
              <w:rPr>
                <w:spacing w:val="-2"/>
                <w:sz w:val="20"/>
              </w:rPr>
              <w:t>templates</w:t>
            </w:r>
          </w:p>
        </w:tc>
      </w:tr>
      <w:tr w:rsidR="00483D15" w14:paraId="5B80DCC2" w14:textId="77777777">
        <w:trPr>
          <w:trHeight w:val="1221"/>
        </w:trPr>
        <w:tc>
          <w:tcPr>
            <w:tcW w:w="5951" w:type="dxa"/>
          </w:tcPr>
          <w:p w14:paraId="37663DD1" w14:textId="77777777" w:rsidR="00483D15" w:rsidRDefault="00000000">
            <w:pPr>
              <w:pStyle w:val="TableParagraph"/>
              <w:numPr>
                <w:ilvl w:val="0"/>
                <w:numId w:val="21"/>
              </w:numPr>
              <w:tabs>
                <w:tab w:val="left" w:pos="467"/>
              </w:tabs>
              <w:ind w:right="210"/>
              <w:rPr>
                <w:sz w:val="20"/>
              </w:rPr>
            </w:pPr>
            <w:r>
              <w:rPr>
                <w:sz w:val="20"/>
              </w:rPr>
              <w:t>NSW to develop guidance material for proponents to highlight the</w:t>
            </w:r>
            <w:r>
              <w:rPr>
                <w:spacing w:val="-5"/>
                <w:sz w:val="20"/>
              </w:rPr>
              <w:t xml:space="preserve"> </w:t>
            </w:r>
            <w:r>
              <w:rPr>
                <w:sz w:val="20"/>
              </w:rPr>
              <w:t>cost</w:t>
            </w:r>
            <w:r>
              <w:rPr>
                <w:spacing w:val="-4"/>
                <w:sz w:val="20"/>
              </w:rPr>
              <w:t xml:space="preserve"> </w:t>
            </w:r>
            <w:r>
              <w:rPr>
                <w:sz w:val="20"/>
              </w:rPr>
              <w:t>benefits</w:t>
            </w:r>
            <w:r>
              <w:rPr>
                <w:spacing w:val="-4"/>
                <w:sz w:val="20"/>
              </w:rPr>
              <w:t xml:space="preserve"> </w:t>
            </w:r>
            <w:r>
              <w:rPr>
                <w:sz w:val="20"/>
              </w:rPr>
              <w:t>of</w:t>
            </w:r>
            <w:r>
              <w:rPr>
                <w:spacing w:val="-4"/>
                <w:sz w:val="20"/>
              </w:rPr>
              <w:t xml:space="preserve"> </w:t>
            </w:r>
            <w:proofErr w:type="spellStart"/>
            <w:r>
              <w:rPr>
                <w:sz w:val="20"/>
              </w:rPr>
              <w:t>utilising</w:t>
            </w:r>
            <w:proofErr w:type="spellEnd"/>
            <w:r>
              <w:rPr>
                <w:spacing w:val="-4"/>
                <w:sz w:val="20"/>
              </w:rPr>
              <w:t xml:space="preserve"> </w:t>
            </w:r>
            <w:r>
              <w:rPr>
                <w:sz w:val="20"/>
              </w:rPr>
              <w:t>the</w:t>
            </w:r>
            <w:r>
              <w:rPr>
                <w:spacing w:val="-4"/>
                <w:sz w:val="20"/>
              </w:rPr>
              <w:t xml:space="preserve"> </w:t>
            </w:r>
            <w:r>
              <w:rPr>
                <w:sz w:val="20"/>
              </w:rPr>
              <w:t>single</w:t>
            </w:r>
            <w:r>
              <w:rPr>
                <w:spacing w:val="-5"/>
                <w:sz w:val="20"/>
              </w:rPr>
              <w:t xml:space="preserve"> </w:t>
            </w:r>
            <w:r>
              <w:rPr>
                <w:sz w:val="20"/>
              </w:rPr>
              <w:t>assessment</w:t>
            </w:r>
            <w:r>
              <w:rPr>
                <w:spacing w:val="-4"/>
                <w:sz w:val="20"/>
              </w:rPr>
              <w:t xml:space="preserve"> </w:t>
            </w:r>
            <w:r>
              <w:rPr>
                <w:sz w:val="20"/>
              </w:rPr>
              <w:t>process</w:t>
            </w:r>
            <w:r>
              <w:rPr>
                <w:spacing w:val="-6"/>
                <w:sz w:val="20"/>
              </w:rPr>
              <w:t xml:space="preserve"> </w:t>
            </w:r>
            <w:r>
              <w:rPr>
                <w:sz w:val="20"/>
              </w:rPr>
              <w:t xml:space="preserve">under the Agreement, and the importance of timing in relation to </w:t>
            </w:r>
            <w:r>
              <w:rPr>
                <w:spacing w:val="-2"/>
                <w:sz w:val="20"/>
              </w:rPr>
              <w:t>referrals.</w:t>
            </w:r>
          </w:p>
        </w:tc>
        <w:tc>
          <w:tcPr>
            <w:tcW w:w="3499" w:type="dxa"/>
          </w:tcPr>
          <w:p w14:paraId="685E4B2C" w14:textId="77777777" w:rsidR="00483D15" w:rsidRDefault="00000000">
            <w:pPr>
              <w:pStyle w:val="TableParagraph"/>
              <w:ind w:left="106" w:right="145"/>
              <w:rPr>
                <w:sz w:val="20"/>
              </w:rPr>
            </w:pPr>
            <w:r>
              <w:rPr>
                <w:sz w:val="20"/>
              </w:rPr>
              <w:t>Not applicable – guidance material for proponents not required since the single assessment process is automatic for</w:t>
            </w:r>
            <w:r>
              <w:rPr>
                <w:spacing w:val="-5"/>
                <w:sz w:val="20"/>
              </w:rPr>
              <w:t xml:space="preserve"> </w:t>
            </w:r>
            <w:r>
              <w:rPr>
                <w:sz w:val="20"/>
              </w:rPr>
              <w:t>projects</w:t>
            </w:r>
            <w:r>
              <w:rPr>
                <w:spacing w:val="-5"/>
                <w:sz w:val="20"/>
              </w:rPr>
              <w:t xml:space="preserve"> </w:t>
            </w:r>
            <w:r>
              <w:rPr>
                <w:sz w:val="20"/>
              </w:rPr>
              <w:t>in</w:t>
            </w:r>
            <w:r>
              <w:rPr>
                <w:spacing w:val="-6"/>
                <w:sz w:val="20"/>
              </w:rPr>
              <w:t xml:space="preserve"> </w:t>
            </w:r>
            <w:r>
              <w:rPr>
                <w:sz w:val="20"/>
              </w:rPr>
              <w:t>the</w:t>
            </w:r>
            <w:r>
              <w:rPr>
                <w:spacing w:val="-5"/>
                <w:sz w:val="20"/>
              </w:rPr>
              <w:t xml:space="preserve"> </w:t>
            </w:r>
            <w:r>
              <w:rPr>
                <w:sz w:val="20"/>
              </w:rPr>
              <w:t>NSW</w:t>
            </w:r>
            <w:r>
              <w:rPr>
                <w:spacing w:val="-5"/>
                <w:sz w:val="20"/>
              </w:rPr>
              <w:t xml:space="preserve"> </w:t>
            </w:r>
            <w:r>
              <w:rPr>
                <w:sz w:val="20"/>
              </w:rPr>
              <w:t>system</w:t>
            </w:r>
            <w:r>
              <w:rPr>
                <w:spacing w:val="-6"/>
                <w:sz w:val="20"/>
              </w:rPr>
              <w:t xml:space="preserve"> </w:t>
            </w:r>
            <w:r>
              <w:rPr>
                <w:sz w:val="20"/>
              </w:rPr>
              <w:t>that</w:t>
            </w:r>
            <w:r>
              <w:rPr>
                <w:spacing w:val="-6"/>
                <w:sz w:val="20"/>
              </w:rPr>
              <w:t xml:space="preserve"> </w:t>
            </w:r>
            <w:r>
              <w:rPr>
                <w:sz w:val="20"/>
              </w:rPr>
              <w:t>are</w:t>
            </w:r>
          </w:p>
          <w:p w14:paraId="0476C56F" w14:textId="77777777" w:rsidR="00483D15" w:rsidRDefault="00000000">
            <w:pPr>
              <w:pStyle w:val="TableParagraph"/>
              <w:spacing w:line="225" w:lineRule="exact"/>
              <w:ind w:left="106"/>
              <w:rPr>
                <w:sz w:val="20"/>
              </w:rPr>
            </w:pPr>
            <w:r>
              <w:rPr>
                <w:sz w:val="20"/>
              </w:rPr>
              <w:t>referred</w:t>
            </w:r>
            <w:r>
              <w:rPr>
                <w:spacing w:val="-3"/>
                <w:sz w:val="20"/>
              </w:rPr>
              <w:t xml:space="preserve"> </w:t>
            </w:r>
            <w:r>
              <w:rPr>
                <w:sz w:val="20"/>
              </w:rPr>
              <w:t>to</w:t>
            </w:r>
            <w:r>
              <w:rPr>
                <w:spacing w:val="-3"/>
                <w:sz w:val="20"/>
              </w:rPr>
              <w:t xml:space="preserve"> </w:t>
            </w:r>
            <w:r>
              <w:rPr>
                <w:sz w:val="20"/>
              </w:rPr>
              <w:t>the</w:t>
            </w:r>
            <w:r>
              <w:rPr>
                <w:spacing w:val="-2"/>
                <w:sz w:val="20"/>
              </w:rPr>
              <w:t xml:space="preserve"> </w:t>
            </w:r>
            <w:r>
              <w:rPr>
                <w:spacing w:val="-5"/>
                <w:sz w:val="20"/>
              </w:rPr>
              <w:t>AG</w:t>
            </w:r>
          </w:p>
        </w:tc>
      </w:tr>
      <w:tr w:rsidR="00483D15" w14:paraId="315F5B7D" w14:textId="77777777">
        <w:trPr>
          <w:trHeight w:val="987"/>
        </w:trPr>
        <w:tc>
          <w:tcPr>
            <w:tcW w:w="5951" w:type="dxa"/>
          </w:tcPr>
          <w:p w14:paraId="79A1E979" w14:textId="77777777" w:rsidR="00483D15" w:rsidRDefault="00000000">
            <w:pPr>
              <w:pStyle w:val="TableParagraph"/>
              <w:numPr>
                <w:ilvl w:val="0"/>
                <w:numId w:val="20"/>
              </w:numPr>
              <w:tabs>
                <w:tab w:val="left" w:pos="467"/>
              </w:tabs>
              <w:ind w:right="516"/>
              <w:rPr>
                <w:sz w:val="20"/>
              </w:rPr>
            </w:pPr>
            <w:r>
              <w:rPr>
                <w:sz w:val="20"/>
              </w:rPr>
              <w:t xml:space="preserve">NSW to </w:t>
            </w:r>
            <w:proofErr w:type="spellStart"/>
            <w:r>
              <w:rPr>
                <w:sz w:val="20"/>
              </w:rPr>
              <w:t>finalise</w:t>
            </w:r>
            <w:proofErr w:type="spellEnd"/>
            <w:r>
              <w:rPr>
                <w:sz w:val="20"/>
              </w:rPr>
              <w:t xml:space="preserve"> revised internal guidance material, including procedures</w:t>
            </w:r>
            <w:r>
              <w:rPr>
                <w:spacing w:val="-6"/>
                <w:sz w:val="20"/>
              </w:rPr>
              <w:t xml:space="preserve"> </w:t>
            </w:r>
            <w:r>
              <w:rPr>
                <w:sz w:val="20"/>
              </w:rPr>
              <w:t>and</w:t>
            </w:r>
            <w:r>
              <w:rPr>
                <w:spacing w:val="-6"/>
                <w:sz w:val="20"/>
              </w:rPr>
              <w:t xml:space="preserve"> </w:t>
            </w:r>
            <w:r>
              <w:rPr>
                <w:sz w:val="20"/>
              </w:rPr>
              <w:t>checklists,</w:t>
            </w:r>
            <w:r>
              <w:rPr>
                <w:spacing w:val="-6"/>
                <w:sz w:val="20"/>
              </w:rPr>
              <w:t xml:space="preserve"> </w:t>
            </w:r>
            <w:r>
              <w:rPr>
                <w:sz w:val="20"/>
              </w:rPr>
              <w:t>to</w:t>
            </w:r>
            <w:r>
              <w:rPr>
                <w:spacing w:val="-6"/>
                <w:sz w:val="20"/>
              </w:rPr>
              <w:t xml:space="preserve"> </w:t>
            </w:r>
            <w:r>
              <w:rPr>
                <w:sz w:val="20"/>
              </w:rPr>
              <w:t>ensure</w:t>
            </w:r>
            <w:r>
              <w:rPr>
                <w:spacing w:val="-6"/>
                <w:sz w:val="20"/>
              </w:rPr>
              <w:t xml:space="preserve"> </w:t>
            </w:r>
            <w:r>
              <w:rPr>
                <w:sz w:val="20"/>
              </w:rPr>
              <w:t>referral</w:t>
            </w:r>
            <w:r>
              <w:rPr>
                <w:spacing w:val="-6"/>
                <w:sz w:val="20"/>
              </w:rPr>
              <w:t xml:space="preserve"> </w:t>
            </w:r>
            <w:r>
              <w:rPr>
                <w:sz w:val="20"/>
              </w:rPr>
              <w:t>and</w:t>
            </w:r>
            <w:r>
              <w:rPr>
                <w:spacing w:val="-6"/>
                <w:sz w:val="20"/>
              </w:rPr>
              <w:t xml:space="preserve"> </w:t>
            </w:r>
            <w:r>
              <w:rPr>
                <w:sz w:val="20"/>
              </w:rPr>
              <w:t>notification requirements are met in a timely manner and with the least</w:t>
            </w:r>
          </w:p>
          <w:p w14:paraId="5386AF7B" w14:textId="77777777" w:rsidR="00483D15" w:rsidRDefault="00000000">
            <w:pPr>
              <w:pStyle w:val="TableParagraph"/>
              <w:spacing w:line="225" w:lineRule="exact"/>
              <w:ind w:left="467"/>
              <w:rPr>
                <w:sz w:val="20"/>
              </w:rPr>
            </w:pPr>
            <w:r>
              <w:rPr>
                <w:sz w:val="20"/>
              </w:rPr>
              <w:t>number</w:t>
            </w:r>
            <w:r>
              <w:rPr>
                <w:spacing w:val="-7"/>
                <w:sz w:val="20"/>
              </w:rPr>
              <w:t xml:space="preserve"> </w:t>
            </w:r>
            <w:r>
              <w:rPr>
                <w:sz w:val="20"/>
              </w:rPr>
              <w:t>of</w:t>
            </w:r>
            <w:r>
              <w:rPr>
                <w:spacing w:val="-4"/>
                <w:sz w:val="20"/>
              </w:rPr>
              <w:t xml:space="preserve"> </w:t>
            </w:r>
            <w:r>
              <w:rPr>
                <w:sz w:val="20"/>
              </w:rPr>
              <w:t>administrative</w:t>
            </w:r>
            <w:r>
              <w:rPr>
                <w:spacing w:val="-4"/>
                <w:sz w:val="20"/>
              </w:rPr>
              <w:t xml:space="preserve"> </w:t>
            </w:r>
            <w:r>
              <w:rPr>
                <w:spacing w:val="-2"/>
                <w:sz w:val="20"/>
              </w:rPr>
              <w:t>steps.</w:t>
            </w:r>
          </w:p>
        </w:tc>
        <w:tc>
          <w:tcPr>
            <w:tcW w:w="3499" w:type="dxa"/>
          </w:tcPr>
          <w:p w14:paraId="7106EA81" w14:textId="77777777" w:rsidR="00483D15" w:rsidRDefault="00000000">
            <w:pPr>
              <w:pStyle w:val="TableParagraph"/>
              <w:spacing w:line="243" w:lineRule="exact"/>
              <w:ind w:left="106"/>
              <w:rPr>
                <w:sz w:val="20"/>
              </w:rPr>
            </w:pPr>
            <w:r>
              <w:rPr>
                <w:sz w:val="20"/>
              </w:rPr>
              <w:t>Addressed</w:t>
            </w:r>
            <w:r>
              <w:rPr>
                <w:spacing w:val="-6"/>
                <w:sz w:val="20"/>
              </w:rPr>
              <w:t xml:space="preserve"> </w:t>
            </w:r>
            <w:r>
              <w:rPr>
                <w:sz w:val="20"/>
              </w:rPr>
              <w:t>through</w:t>
            </w:r>
            <w:r>
              <w:rPr>
                <w:spacing w:val="-5"/>
                <w:sz w:val="20"/>
              </w:rPr>
              <w:t xml:space="preserve"> BIF</w:t>
            </w:r>
          </w:p>
        </w:tc>
      </w:tr>
      <w:tr w:rsidR="00483D15" w14:paraId="5B7C7DC0" w14:textId="77777777">
        <w:trPr>
          <w:trHeight w:val="732"/>
        </w:trPr>
        <w:tc>
          <w:tcPr>
            <w:tcW w:w="5951" w:type="dxa"/>
          </w:tcPr>
          <w:p w14:paraId="3245915E" w14:textId="77777777" w:rsidR="00483D15" w:rsidRDefault="00000000">
            <w:pPr>
              <w:pStyle w:val="TableParagraph"/>
              <w:numPr>
                <w:ilvl w:val="0"/>
                <w:numId w:val="19"/>
              </w:numPr>
              <w:tabs>
                <w:tab w:val="left" w:pos="467"/>
              </w:tabs>
              <w:ind w:right="388"/>
              <w:rPr>
                <w:sz w:val="20"/>
              </w:rPr>
            </w:pPr>
            <w:r>
              <w:rPr>
                <w:sz w:val="20"/>
              </w:rPr>
              <w:t>NSW</w:t>
            </w:r>
            <w:r>
              <w:rPr>
                <w:spacing w:val="-4"/>
                <w:sz w:val="20"/>
              </w:rPr>
              <w:t xml:space="preserve"> </w:t>
            </w:r>
            <w:r>
              <w:rPr>
                <w:sz w:val="20"/>
              </w:rPr>
              <w:t>to</w:t>
            </w:r>
            <w:r>
              <w:rPr>
                <w:spacing w:val="-5"/>
                <w:sz w:val="20"/>
              </w:rPr>
              <w:t xml:space="preserve"> </w:t>
            </w:r>
            <w:r>
              <w:rPr>
                <w:sz w:val="20"/>
              </w:rPr>
              <w:t>ensure</w:t>
            </w:r>
            <w:r>
              <w:rPr>
                <w:spacing w:val="-5"/>
                <w:sz w:val="20"/>
              </w:rPr>
              <w:t xml:space="preserve"> </w:t>
            </w:r>
            <w:r>
              <w:rPr>
                <w:sz w:val="20"/>
              </w:rPr>
              <w:t>guidance</w:t>
            </w:r>
            <w:r>
              <w:rPr>
                <w:spacing w:val="-4"/>
                <w:sz w:val="20"/>
              </w:rPr>
              <w:t xml:space="preserve"> </w:t>
            </w:r>
            <w:r>
              <w:rPr>
                <w:sz w:val="20"/>
              </w:rPr>
              <w:t>material</w:t>
            </w:r>
            <w:r>
              <w:rPr>
                <w:spacing w:val="-4"/>
                <w:sz w:val="20"/>
              </w:rPr>
              <w:t xml:space="preserve"> </w:t>
            </w:r>
            <w:r>
              <w:rPr>
                <w:sz w:val="20"/>
              </w:rPr>
              <w:t>and</w:t>
            </w:r>
            <w:r>
              <w:rPr>
                <w:spacing w:val="-5"/>
                <w:sz w:val="20"/>
              </w:rPr>
              <w:t xml:space="preserve"> </w:t>
            </w:r>
            <w:r>
              <w:rPr>
                <w:sz w:val="20"/>
              </w:rPr>
              <w:t>procedures</w:t>
            </w:r>
            <w:r>
              <w:rPr>
                <w:spacing w:val="-4"/>
                <w:sz w:val="20"/>
              </w:rPr>
              <w:t xml:space="preserve"> </w:t>
            </w:r>
            <w:r>
              <w:rPr>
                <w:sz w:val="20"/>
              </w:rPr>
              <w:t>are</w:t>
            </w:r>
            <w:r>
              <w:rPr>
                <w:spacing w:val="-5"/>
                <w:sz w:val="20"/>
              </w:rPr>
              <w:t xml:space="preserve"> </w:t>
            </w:r>
            <w:r>
              <w:rPr>
                <w:sz w:val="20"/>
              </w:rPr>
              <w:t>adopted widely and consistently across the assessment teams.</w:t>
            </w:r>
          </w:p>
        </w:tc>
        <w:tc>
          <w:tcPr>
            <w:tcW w:w="3499" w:type="dxa"/>
          </w:tcPr>
          <w:p w14:paraId="31E69D83" w14:textId="77777777" w:rsidR="00483D15" w:rsidRDefault="00000000">
            <w:pPr>
              <w:pStyle w:val="TableParagraph"/>
              <w:ind w:left="106"/>
              <w:rPr>
                <w:sz w:val="20"/>
              </w:rPr>
            </w:pPr>
            <w:r>
              <w:rPr>
                <w:sz w:val="20"/>
              </w:rPr>
              <w:t>NSW increased resourcing to further guide</w:t>
            </w:r>
            <w:r>
              <w:rPr>
                <w:spacing w:val="-9"/>
                <w:sz w:val="20"/>
              </w:rPr>
              <w:t xml:space="preserve"> </w:t>
            </w:r>
            <w:r>
              <w:rPr>
                <w:sz w:val="20"/>
              </w:rPr>
              <w:t>and</w:t>
            </w:r>
            <w:r>
              <w:rPr>
                <w:spacing w:val="-8"/>
                <w:sz w:val="20"/>
              </w:rPr>
              <w:t xml:space="preserve"> </w:t>
            </w:r>
            <w:r>
              <w:rPr>
                <w:sz w:val="20"/>
              </w:rPr>
              <w:t>build</w:t>
            </w:r>
            <w:r>
              <w:rPr>
                <w:spacing w:val="-8"/>
                <w:sz w:val="20"/>
              </w:rPr>
              <w:t xml:space="preserve"> </w:t>
            </w:r>
            <w:r>
              <w:rPr>
                <w:sz w:val="20"/>
              </w:rPr>
              <w:t>capacity</w:t>
            </w:r>
            <w:r>
              <w:rPr>
                <w:spacing w:val="-8"/>
                <w:sz w:val="20"/>
              </w:rPr>
              <w:t xml:space="preserve"> </w:t>
            </w:r>
            <w:r>
              <w:rPr>
                <w:sz w:val="20"/>
              </w:rPr>
              <w:t>in</w:t>
            </w:r>
            <w:r>
              <w:rPr>
                <w:spacing w:val="-8"/>
                <w:sz w:val="20"/>
              </w:rPr>
              <w:t xml:space="preserve"> </w:t>
            </w:r>
            <w:r>
              <w:rPr>
                <w:sz w:val="20"/>
              </w:rPr>
              <w:t>assessment</w:t>
            </w:r>
          </w:p>
          <w:p w14:paraId="773586AC" w14:textId="77777777" w:rsidR="00483D15" w:rsidRDefault="00000000">
            <w:pPr>
              <w:pStyle w:val="TableParagraph"/>
              <w:spacing w:line="225" w:lineRule="exact"/>
              <w:ind w:left="106"/>
              <w:rPr>
                <w:sz w:val="20"/>
              </w:rPr>
            </w:pPr>
            <w:r>
              <w:rPr>
                <w:spacing w:val="-2"/>
                <w:sz w:val="20"/>
              </w:rPr>
              <w:t>teams</w:t>
            </w:r>
          </w:p>
        </w:tc>
      </w:tr>
    </w:tbl>
    <w:p w14:paraId="51F125F6" w14:textId="77777777" w:rsidR="00483D15" w:rsidRDefault="00483D15">
      <w:pPr>
        <w:pStyle w:val="TableParagraph"/>
        <w:spacing w:line="225" w:lineRule="exact"/>
        <w:rPr>
          <w:sz w:val="20"/>
        </w:rPr>
        <w:sectPr w:rsidR="00483D15">
          <w:pgSz w:w="11910" w:h="16840"/>
          <w:pgMar w:top="1340" w:right="566" w:bottom="1554" w:left="992" w:header="0" w:footer="1000" w:gutter="0"/>
          <w:cols w:space="720"/>
        </w:sectPr>
      </w:pPr>
    </w:p>
    <w:tbl>
      <w:tblPr>
        <w:tblW w:w="0" w:type="auto"/>
        <w:tblInd w:w="3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5951"/>
        <w:gridCol w:w="3499"/>
      </w:tblGrid>
      <w:tr w:rsidR="00483D15" w14:paraId="73E82E08" w14:textId="77777777">
        <w:trPr>
          <w:trHeight w:val="299"/>
        </w:trPr>
        <w:tc>
          <w:tcPr>
            <w:tcW w:w="5951" w:type="dxa"/>
          </w:tcPr>
          <w:p w14:paraId="2B4A27D5" w14:textId="77777777" w:rsidR="00483D15" w:rsidRDefault="00000000">
            <w:pPr>
              <w:pStyle w:val="TableParagraph"/>
              <w:spacing w:line="243" w:lineRule="exact"/>
              <w:ind w:left="107"/>
              <w:rPr>
                <w:b/>
                <w:sz w:val="20"/>
              </w:rPr>
            </w:pPr>
            <w:r>
              <w:rPr>
                <w:b/>
                <w:sz w:val="20"/>
              </w:rPr>
              <w:lastRenderedPageBreak/>
              <w:t>Priority</w:t>
            </w:r>
            <w:r>
              <w:rPr>
                <w:b/>
                <w:spacing w:val="-5"/>
                <w:sz w:val="20"/>
              </w:rPr>
              <w:t xml:space="preserve"> </w:t>
            </w:r>
            <w:r>
              <w:rPr>
                <w:b/>
                <w:sz w:val="20"/>
              </w:rPr>
              <w:t>initiatives</w:t>
            </w:r>
            <w:r>
              <w:rPr>
                <w:b/>
                <w:spacing w:val="-4"/>
                <w:sz w:val="20"/>
              </w:rPr>
              <w:t xml:space="preserve"> </w:t>
            </w:r>
            <w:r>
              <w:rPr>
                <w:b/>
                <w:sz w:val="20"/>
              </w:rPr>
              <w:t>for</w:t>
            </w:r>
            <w:r>
              <w:rPr>
                <w:b/>
                <w:spacing w:val="-5"/>
                <w:sz w:val="20"/>
              </w:rPr>
              <w:t xml:space="preserve"> </w:t>
            </w:r>
            <w:r>
              <w:rPr>
                <w:b/>
                <w:spacing w:val="-2"/>
                <w:sz w:val="20"/>
              </w:rPr>
              <w:t>improvement</w:t>
            </w:r>
          </w:p>
        </w:tc>
        <w:tc>
          <w:tcPr>
            <w:tcW w:w="3499" w:type="dxa"/>
          </w:tcPr>
          <w:p w14:paraId="56E6EB92" w14:textId="77777777" w:rsidR="00483D15" w:rsidRDefault="00000000">
            <w:pPr>
              <w:pStyle w:val="TableParagraph"/>
              <w:spacing w:line="243" w:lineRule="exact"/>
              <w:ind w:left="106"/>
              <w:rPr>
                <w:b/>
                <w:sz w:val="20"/>
              </w:rPr>
            </w:pPr>
            <w:r>
              <w:rPr>
                <w:b/>
                <w:sz w:val="20"/>
              </w:rPr>
              <w:t>Action</w:t>
            </w:r>
            <w:r>
              <w:rPr>
                <w:b/>
                <w:spacing w:val="-2"/>
                <w:sz w:val="20"/>
              </w:rPr>
              <w:t xml:space="preserve"> </w:t>
            </w:r>
            <w:r>
              <w:rPr>
                <w:b/>
                <w:sz w:val="20"/>
              </w:rPr>
              <w:t>to</w:t>
            </w:r>
            <w:r>
              <w:rPr>
                <w:b/>
                <w:spacing w:val="-2"/>
                <w:sz w:val="20"/>
              </w:rPr>
              <w:t xml:space="preserve"> </w:t>
            </w:r>
            <w:r>
              <w:rPr>
                <w:b/>
                <w:spacing w:val="-4"/>
                <w:sz w:val="20"/>
              </w:rPr>
              <w:t>date</w:t>
            </w:r>
          </w:p>
        </w:tc>
      </w:tr>
      <w:tr w:rsidR="00483D15" w14:paraId="4D23AE8A" w14:textId="77777777">
        <w:trPr>
          <w:trHeight w:val="987"/>
        </w:trPr>
        <w:tc>
          <w:tcPr>
            <w:tcW w:w="5951" w:type="dxa"/>
          </w:tcPr>
          <w:p w14:paraId="2D3ADB9F" w14:textId="77777777" w:rsidR="00483D15" w:rsidRDefault="00000000">
            <w:pPr>
              <w:pStyle w:val="TableParagraph"/>
              <w:numPr>
                <w:ilvl w:val="0"/>
                <w:numId w:val="18"/>
              </w:numPr>
              <w:tabs>
                <w:tab w:val="left" w:pos="467"/>
              </w:tabs>
              <w:ind w:right="195"/>
              <w:rPr>
                <w:sz w:val="20"/>
              </w:rPr>
            </w:pPr>
            <w:r>
              <w:rPr>
                <w:sz w:val="20"/>
              </w:rPr>
              <w:t>The</w:t>
            </w:r>
            <w:r>
              <w:rPr>
                <w:spacing w:val="-5"/>
                <w:sz w:val="20"/>
              </w:rPr>
              <w:t xml:space="preserve"> </w:t>
            </w:r>
            <w:r>
              <w:rPr>
                <w:sz w:val="20"/>
              </w:rPr>
              <w:t>Commonwealth</w:t>
            </w:r>
            <w:r>
              <w:rPr>
                <w:spacing w:val="-5"/>
                <w:sz w:val="20"/>
              </w:rPr>
              <w:t xml:space="preserve"> </w:t>
            </w:r>
            <w:r>
              <w:rPr>
                <w:sz w:val="20"/>
              </w:rPr>
              <w:t>and</w:t>
            </w:r>
            <w:r>
              <w:rPr>
                <w:spacing w:val="-6"/>
                <w:sz w:val="20"/>
              </w:rPr>
              <w:t xml:space="preserve"> </w:t>
            </w:r>
            <w:r>
              <w:rPr>
                <w:sz w:val="20"/>
              </w:rPr>
              <w:t>NSW</w:t>
            </w:r>
            <w:r>
              <w:rPr>
                <w:spacing w:val="-5"/>
                <w:sz w:val="20"/>
              </w:rPr>
              <w:t xml:space="preserve"> </w:t>
            </w:r>
            <w:r>
              <w:rPr>
                <w:sz w:val="20"/>
              </w:rPr>
              <w:t>to</w:t>
            </w:r>
            <w:r>
              <w:rPr>
                <w:spacing w:val="-6"/>
                <w:sz w:val="20"/>
              </w:rPr>
              <w:t xml:space="preserve"> </w:t>
            </w:r>
            <w:r>
              <w:rPr>
                <w:sz w:val="20"/>
              </w:rPr>
              <w:t>identify</w:t>
            </w:r>
            <w:r>
              <w:rPr>
                <w:spacing w:val="-5"/>
                <w:sz w:val="20"/>
              </w:rPr>
              <w:t xml:space="preserve"> </w:t>
            </w:r>
            <w:r>
              <w:rPr>
                <w:sz w:val="20"/>
              </w:rPr>
              <w:t>improved</w:t>
            </w:r>
            <w:r>
              <w:rPr>
                <w:spacing w:val="-5"/>
                <w:sz w:val="20"/>
              </w:rPr>
              <w:t xml:space="preserve"> </w:t>
            </w:r>
            <w:r>
              <w:rPr>
                <w:sz w:val="20"/>
              </w:rPr>
              <w:t>processes</w:t>
            </w:r>
            <w:r>
              <w:rPr>
                <w:spacing w:val="-5"/>
                <w:sz w:val="20"/>
              </w:rPr>
              <w:t xml:space="preserve"> </w:t>
            </w:r>
            <w:r>
              <w:rPr>
                <w:sz w:val="20"/>
              </w:rPr>
              <w:t>for early engagement with proponents to ensure alignment of the NSW and Commonwealth assessment timeframes such that the</w:t>
            </w:r>
          </w:p>
          <w:p w14:paraId="46084032" w14:textId="77777777" w:rsidR="00483D15" w:rsidRDefault="00000000">
            <w:pPr>
              <w:pStyle w:val="TableParagraph"/>
              <w:spacing w:line="224" w:lineRule="exact"/>
              <w:ind w:left="467"/>
              <w:rPr>
                <w:sz w:val="20"/>
              </w:rPr>
            </w:pPr>
            <w:r>
              <w:rPr>
                <w:sz w:val="20"/>
              </w:rPr>
              <w:t>Agreement</w:t>
            </w:r>
            <w:r>
              <w:rPr>
                <w:spacing w:val="-5"/>
                <w:sz w:val="20"/>
              </w:rPr>
              <w:t xml:space="preserve"> </w:t>
            </w:r>
            <w:r>
              <w:rPr>
                <w:sz w:val="20"/>
              </w:rPr>
              <w:t>can</w:t>
            </w:r>
            <w:r>
              <w:rPr>
                <w:spacing w:val="-4"/>
                <w:sz w:val="20"/>
              </w:rPr>
              <w:t xml:space="preserve"> </w:t>
            </w:r>
            <w:r>
              <w:rPr>
                <w:spacing w:val="-2"/>
                <w:sz w:val="20"/>
              </w:rPr>
              <w:t>apply.</w:t>
            </w:r>
          </w:p>
        </w:tc>
        <w:tc>
          <w:tcPr>
            <w:tcW w:w="3499" w:type="dxa"/>
          </w:tcPr>
          <w:p w14:paraId="4593AB69" w14:textId="77777777" w:rsidR="00483D15" w:rsidRDefault="00000000">
            <w:pPr>
              <w:pStyle w:val="TableParagraph"/>
              <w:ind w:left="106"/>
              <w:rPr>
                <w:sz w:val="20"/>
              </w:rPr>
            </w:pPr>
            <w:r>
              <w:rPr>
                <w:sz w:val="20"/>
              </w:rPr>
              <w:t>Addressed</w:t>
            </w:r>
            <w:r>
              <w:rPr>
                <w:spacing w:val="-5"/>
                <w:sz w:val="20"/>
              </w:rPr>
              <w:t xml:space="preserve"> </w:t>
            </w:r>
            <w:r>
              <w:rPr>
                <w:sz w:val="20"/>
              </w:rPr>
              <w:t>through</w:t>
            </w:r>
            <w:r>
              <w:rPr>
                <w:spacing w:val="-4"/>
                <w:sz w:val="20"/>
              </w:rPr>
              <w:t xml:space="preserve"> </w:t>
            </w:r>
            <w:r>
              <w:rPr>
                <w:sz w:val="20"/>
              </w:rPr>
              <w:t>SEARs</w:t>
            </w:r>
            <w:r>
              <w:rPr>
                <w:spacing w:val="-4"/>
                <w:sz w:val="20"/>
              </w:rPr>
              <w:t xml:space="preserve"> </w:t>
            </w:r>
            <w:r>
              <w:rPr>
                <w:spacing w:val="-2"/>
                <w:sz w:val="20"/>
              </w:rPr>
              <w:t>templates</w:t>
            </w:r>
          </w:p>
        </w:tc>
      </w:tr>
      <w:tr w:rsidR="00483D15" w14:paraId="2BD82023" w14:textId="77777777">
        <w:trPr>
          <w:trHeight w:val="244"/>
        </w:trPr>
        <w:tc>
          <w:tcPr>
            <w:tcW w:w="9450" w:type="dxa"/>
            <w:gridSpan w:val="2"/>
          </w:tcPr>
          <w:p w14:paraId="6CEBC457" w14:textId="77777777" w:rsidR="00483D15" w:rsidRDefault="00000000">
            <w:pPr>
              <w:pStyle w:val="TableParagraph"/>
              <w:spacing w:line="224" w:lineRule="exact"/>
              <w:ind w:left="107"/>
              <w:rPr>
                <w:sz w:val="20"/>
              </w:rPr>
            </w:pPr>
            <w:r>
              <w:rPr>
                <w:spacing w:val="-2"/>
                <w:sz w:val="20"/>
              </w:rPr>
              <w:t>Assessment</w:t>
            </w:r>
          </w:p>
        </w:tc>
      </w:tr>
      <w:tr w:rsidR="00483D15" w14:paraId="1B87823E" w14:textId="77777777">
        <w:trPr>
          <w:trHeight w:val="1139"/>
        </w:trPr>
        <w:tc>
          <w:tcPr>
            <w:tcW w:w="5951" w:type="dxa"/>
          </w:tcPr>
          <w:p w14:paraId="1D55B329" w14:textId="77777777" w:rsidR="00483D15" w:rsidRDefault="00000000">
            <w:pPr>
              <w:pStyle w:val="TableParagraph"/>
              <w:numPr>
                <w:ilvl w:val="0"/>
                <w:numId w:val="17"/>
              </w:numPr>
              <w:tabs>
                <w:tab w:val="left" w:pos="467"/>
              </w:tabs>
              <w:ind w:right="346"/>
              <w:rPr>
                <w:sz w:val="20"/>
              </w:rPr>
            </w:pPr>
            <w:r>
              <w:rPr>
                <w:sz w:val="20"/>
              </w:rPr>
              <w:t>The Commonwealth and NSW to work together to update operating</w:t>
            </w:r>
            <w:r>
              <w:rPr>
                <w:spacing w:val="-6"/>
                <w:sz w:val="20"/>
              </w:rPr>
              <w:t xml:space="preserve"> </w:t>
            </w:r>
            <w:r>
              <w:rPr>
                <w:sz w:val="20"/>
              </w:rPr>
              <w:t>procedures</w:t>
            </w:r>
            <w:r>
              <w:rPr>
                <w:spacing w:val="-6"/>
                <w:sz w:val="20"/>
              </w:rPr>
              <w:t xml:space="preserve"> </w:t>
            </w:r>
            <w:r>
              <w:rPr>
                <w:sz w:val="20"/>
              </w:rPr>
              <w:t>to</w:t>
            </w:r>
            <w:r>
              <w:rPr>
                <w:spacing w:val="-7"/>
                <w:sz w:val="20"/>
              </w:rPr>
              <w:t xml:space="preserve"> </w:t>
            </w:r>
            <w:r>
              <w:rPr>
                <w:sz w:val="20"/>
              </w:rPr>
              <w:t>ensure</w:t>
            </w:r>
            <w:r>
              <w:rPr>
                <w:spacing w:val="-6"/>
                <w:sz w:val="20"/>
              </w:rPr>
              <w:t xml:space="preserve"> </w:t>
            </w:r>
            <w:r>
              <w:rPr>
                <w:sz w:val="20"/>
              </w:rPr>
              <w:t>relevant</w:t>
            </w:r>
            <w:r>
              <w:rPr>
                <w:spacing w:val="-6"/>
                <w:sz w:val="20"/>
              </w:rPr>
              <w:t xml:space="preserve"> </w:t>
            </w:r>
            <w:r>
              <w:rPr>
                <w:sz w:val="20"/>
              </w:rPr>
              <w:t>assessment</w:t>
            </w:r>
            <w:r>
              <w:rPr>
                <w:spacing w:val="-6"/>
                <w:sz w:val="20"/>
              </w:rPr>
              <w:t xml:space="preserve"> </w:t>
            </w:r>
            <w:r>
              <w:rPr>
                <w:sz w:val="20"/>
              </w:rPr>
              <w:t>officers</w:t>
            </w:r>
            <w:r>
              <w:rPr>
                <w:spacing w:val="-6"/>
                <w:sz w:val="20"/>
              </w:rPr>
              <w:t xml:space="preserve"> </w:t>
            </w:r>
            <w:r>
              <w:rPr>
                <w:sz w:val="20"/>
              </w:rPr>
              <w:t>in both DPE and OEH receive referral documentation as early as possible in the process.</w:t>
            </w:r>
          </w:p>
        </w:tc>
        <w:tc>
          <w:tcPr>
            <w:tcW w:w="3499" w:type="dxa"/>
          </w:tcPr>
          <w:p w14:paraId="7BC6FA91" w14:textId="77777777" w:rsidR="00483D15" w:rsidRDefault="00000000">
            <w:pPr>
              <w:pStyle w:val="TableParagraph"/>
              <w:spacing w:line="243" w:lineRule="exact"/>
              <w:ind w:left="106"/>
              <w:rPr>
                <w:sz w:val="20"/>
              </w:rPr>
            </w:pPr>
            <w:r>
              <w:rPr>
                <w:sz w:val="20"/>
              </w:rPr>
              <w:t>Addressed</w:t>
            </w:r>
            <w:r>
              <w:rPr>
                <w:spacing w:val="-6"/>
                <w:sz w:val="20"/>
              </w:rPr>
              <w:t xml:space="preserve"> </w:t>
            </w:r>
            <w:r>
              <w:rPr>
                <w:sz w:val="20"/>
              </w:rPr>
              <w:t>through</w:t>
            </w:r>
            <w:r>
              <w:rPr>
                <w:spacing w:val="-5"/>
                <w:sz w:val="20"/>
              </w:rPr>
              <w:t xml:space="preserve"> BIF</w:t>
            </w:r>
          </w:p>
        </w:tc>
      </w:tr>
      <w:tr w:rsidR="00483D15" w14:paraId="0947B119" w14:textId="77777777">
        <w:trPr>
          <w:trHeight w:val="821"/>
        </w:trPr>
        <w:tc>
          <w:tcPr>
            <w:tcW w:w="5951" w:type="dxa"/>
          </w:tcPr>
          <w:p w14:paraId="389C37DA" w14:textId="77777777" w:rsidR="00483D15" w:rsidRDefault="00000000">
            <w:pPr>
              <w:pStyle w:val="TableParagraph"/>
              <w:numPr>
                <w:ilvl w:val="0"/>
                <w:numId w:val="16"/>
              </w:numPr>
              <w:tabs>
                <w:tab w:val="left" w:pos="467"/>
              </w:tabs>
              <w:ind w:right="385"/>
              <w:rPr>
                <w:sz w:val="20"/>
              </w:rPr>
            </w:pPr>
            <w:r>
              <w:rPr>
                <w:sz w:val="20"/>
              </w:rPr>
              <w:t>The Commonwealth and NSW to work towards increasing proponents’</w:t>
            </w:r>
            <w:r>
              <w:rPr>
                <w:spacing w:val="-6"/>
                <w:sz w:val="20"/>
              </w:rPr>
              <w:t xml:space="preserve"> </w:t>
            </w:r>
            <w:r>
              <w:rPr>
                <w:sz w:val="20"/>
              </w:rPr>
              <w:t>understanding</w:t>
            </w:r>
            <w:r>
              <w:rPr>
                <w:spacing w:val="-5"/>
                <w:sz w:val="20"/>
              </w:rPr>
              <w:t xml:space="preserve"> </w:t>
            </w:r>
            <w:r>
              <w:rPr>
                <w:sz w:val="20"/>
              </w:rPr>
              <w:t>of</w:t>
            </w:r>
            <w:r>
              <w:rPr>
                <w:spacing w:val="-5"/>
                <w:sz w:val="20"/>
              </w:rPr>
              <w:t xml:space="preserve"> </w:t>
            </w:r>
            <w:r>
              <w:rPr>
                <w:sz w:val="20"/>
              </w:rPr>
              <w:t>the</w:t>
            </w:r>
            <w:r>
              <w:rPr>
                <w:spacing w:val="-6"/>
                <w:sz w:val="20"/>
              </w:rPr>
              <w:t xml:space="preserve"> </w:t>
            </w:r>
            <w:r>
              <w:rPr>
                <w:sz w:val="20"/>
              </w:rPr>
              <w:t>EPBC</w:t>
            </w:r>
            <w:r>
              <w:rPr>
                <w:spacing w:val="-6"/>
                <w:sz w:val="20"/>
              </w:rPr>
              <w:t xml:space="preserve"> </w:t>
            </w:r>
            <w:r>
              <w:rPr>
                <w:sz w:val="20"/>
              </w:rPr>
              <w:t>Act’s</w:t>
            </w:r>
            <w:r>
              <w:rPr>
                <w:spacing w:val="-5"/>
                <w:sz w:val="20"/>
              </w:rPr>
              <w:t xml:space="preserve"> </w:t>
            </w:r>
            <w:r>
              <w:rPr>
                <w:sz w:val="20"/>
              </w:rPr>
              <w:t>requirements</w:t>
            </w:r>
            <w:r>
              <w:rPr>
                <w:spacing w:val="-7"/>
                <w:sz w:val="20"/>
              </w:rPr>
              <w:t xml:space="preserve"> </w:t>
            </w:r>
            <w:r>
              <w:rPr>
                <w:sz w:val="20"/>
              </w:rPr>
              <w:t>for explicit assessment of relevant impacts on each MNES.</w:t>
            </w:r>
          </w:p>
        </w:tc>
        <w:tc>
          <w:tcPr>
            <w:tcW w:w="3499" w:type="dxa"/>
          </w:tcPr>
          <w:p w14:paraId="5C1769EE" w14:textId="77777777" w:rsidR="00483D15" w:rsidRDefault="00000000">
            <w:pPr>
              <w:pStyle w:val="TableParagraph"/>
              <w:spacing w:line="243" w:lineRule="exact"/>
              <w:ind w:left="106"/>
              <w:rPr>
                <w:sz w:val="20"/>
              </w:rPr>
            </w:pPr>
            <w:r>
              <w:rPr>
                <w:sz w:val="20"/>
              </w:rPr>
              <w:t>Addressed</w:t>
            </w:r>
            <w:r>
              <w:rPr>
                <w:spacing w:val="-5"/>
                <w:sz w:val="20"/>
              </w:rPr>
              <w:t xml:space="preserve"> </w:t>
            </w:r>
            <w:r>
              <w:rPr>
                <w:sz w:val="20"/>
              </w:rPr>
              <w:t>though</w:t>
            </w:r>
            <w:r>
              <w:rPr>
                <w:spacing w:val="-4"/>
                <w:sz w:val="20"/>
              </w:rPr>
              <w:t xml:space="preserve"> </w:t>
            </w:r>
            <w:r>
              <w:rPr>
                <w:sz w:val="20"/>
              </w:rPr>
              <w:t>SEARs</w:t>
            </w:r>
            <w:r>
              <w:rPr>
                <w:spacing w:val="-4"/>
                <w:sz w:val="20"/>
              </w:rPr>
              <w:t xml:space="preserve"> </w:t>
            </w:r>
            <w:r>
              <w:rPr>
                <w:spacing w:val="-2"/>
                <w:sz w:val="20"/>
              </w:rPr>
              <w:t>templates</w:t>
            </w:r>
          </w:p>
        </w:tc>
      </w:tr>
      <w:tr w:rsidR="00483D15" w14:paraId="7E4F4730" w14:textId="77777777">
        <w:trPr>
          <w:trHeight w:val="530"/>
        </w:trPr>
        <w:tc>
          <w:tcPr>
            <w:tcW w:w="5951" w:type="dxa"/>
          </w:tcPr>
          <w:p w14:paraId="1E61B332" w14:textId="77777777" w:rsidR="00483D15" w:rsidRDefault="00000000">
            <w:pPr>
              <w:pStyle w:val="TableParagraph"/>
              <w:numPr>
                <w:ilvl w:val="0"/>
                <w:numId w:val="15"/>
              </w:numPr>
              <w:tabs>
                <w:tab w:val="left" w:pos="467"/>
              </w:tabs>
              <w:ind w:right="154"/>
              <w:rPr>
                <w:sz w:val="20"/>
              </w:rPr>
            </w:pPr>
            <w:r>
              <w:rPr>
                <w:sz w:val="20"/>
              </w:rPr>
              <w:t>The</w:t>
            </w:r>
            <w:r>
              <w:rPr>
                <w:spacing w:val="-4"/>
                <w:sz w:val="20"/>
              </w:rPr>
              <w:t xml:space="preserve"> </w:t>
            </w:r>
            <w:r>
              <w:rPr>
                <w:sz w:val="20"/>
              </w:rPr>
              <w:t>Commonwealth</w:t>
            </w:r>
            <w:r>
              <w:rPr>
                <w:spacing w:val="-4"/>
                <w:sz w:val="20"/>
              </w:rPr>
              <w:t xml:space="preserve"> </w:t>
            </w:r>
            <w:r>
              <w:rPr>
                <w:sz w:val="20"/>
              </w:rPr>
              <w:t>and</w:t>
            </w:r>
            <w:r>
              <w:rPr>
                <w:spacing w:val="-5"/>
                <w:sz w:val="20"/>
              </w:rPr>
              <w:t xml:space="preserve"> </w:t>
            </w:r>
            <w:r>
              <w:rPr>
                <w:sz w:val="20"/>
              </w:rPr>
              <w:t>NSW</w:t>
            </w:r>
            <w:r>
              <w:rPr>
                <w:spacing w:val="-4"/>
                <w:sz w:val="20"/>
              </w:rPr>
              <w:t xml:space="preserve"> </w:t>
            </w:r>
            <w:r>
              <w:rPr>
                <w:sz w:val="20"/>
              </w:rPr>
              <w:t>to</w:t>
            </w:r>
            <w:r>
              <w:rPr>
                <w:spacing w:val="-5"/>
                <w:sz w:val="20"/>
              </w:rPr>
              <w:t xml:space="preserve"> </w:t>
            </w:r>
            <w:r>
              <w:rPr>
                <w:sz w:val="20"/>
              </w:rPr>
              <w:t>identify</w:t>
            </w:r>
            <w:r>
              <w:rPr>
                <w:spacing w:val="-5"/>
                <w:sz w:val="20"/>
              </w:rPr>
              <w:t xml:space="preserve"> </w:t>
            </w:r>
            <w:r>
              <w:rPr>
                <w:sz w:val="20"/>
              </w:rPr>
              <w:t>key</w:t>
            </w:r>
            <w:r>
              <w:rPr>
                <w:spacing w:val="-4"/>
                <w:sz w:val="20"/>
              </w:rPr>
              <w:t xml:space="preserve"> </w:t>
            </w:r>
            <w:r>
              <w:rPr>
                <w:sz w:val="20"/>
              </w:rPr>
              <w:t>actions</w:t>
            </w:r>
            <w:r>
              <w:rPr>
                <w:spacing w:val="-4"/>
                <w:sz w:val="20"/>
              </w:rPr>
              <w:t xml:space="preserve"> </w:t>
            </w:r>
            <w:r>
              <w:rPr>
                <w:sz w:val="20"/>
              </w:rPr>
              <w:t>to</w:t>
            </w:r>
            <w:r>
              <w:rPr>
                <w:spacing w:val="-4"/>
                <w:sz w:val="20"/>
              </w:rPr>
              <w:t xml:space="preserve"> </w:t>
            </w:r>
            <w:r>
              <w:rPr>
                <w:sz w:val="20"/>
              </w:rPr>
              <w:t>support</w:t>
            </w:r>
            <w:r>
              <w:rPr>
                <w:spacing w:val="-5"/>
                <w:sz w:val="20"/>
              </w:rPr>
              <w:t xml:space="preserve"> </w:t>
            </w:r>
            <w:r>
              <w:rPr>
                <w:sz w:val="20"/>
              </w:rPr>
              <w:t>a transition to business as usual.</w:t>
            </w:r>
          </w:p>
        </w:tc>
        <w:tc>
          <w:tcPr>
            <w:tcW w:w="3499" w:type="dxa"/>
          </w:tcPr>
          <w:p w14:paraId="252457F6" w14:textId="77777777" w:rsidR="00483D15" w:rsidRDefault="00000000">
            <w:pPr>
              <w:pStyle w:val="TableParagraph"/>
              <w:spacing w:line="243" w:lineRule="exact"/>
              <w:ind w:left="106"/>
              <w:rPr>
                <w:sz w:val="20"/>
              </w:rPr>
            </w:pPr>
            <w:r>
              <w:rPr>
                <w:sz w:val="20"/>
              </w:rPr>
              <w:t>Addressed</w:t>
            </w:r>
            <w:r>
              <w:rPr>
                <w:spacing w:val="-6"/>
                <w:sz w:val="20"/>
              </w:rPr>
              <w:t xml:space="preserve"> </w:t>
            </w:r>
            <w:r>
              <w:rPr>
                <w:sz w:val="20"/>
              </w:rPr>
              <w:t>through</w:t>
            </w:r>
            <w:r>
              <w:rPr>
                <w:spacing w:val="-5"/>
                <w:sz w:val="20"/>
              </w:rPr>
              <w:t xml:space="preserve"> BIF</w:t>
            </w:r>
          </w:p>
        </w:tc>
      </w:tr>
      <w:tr w:rsidR="00483D15" w14:paraId="22347D9E" w14:textId="77777777">
        <w:trPr>
          <w:trHeight w:val="1964"/>
        </w:trPr>
        <w:tc>
          <w:tcPr>
            <w:tcW w:w="5951" w:type="dxa"/>
          </w:tcPr>
          <w:p w14:paraId="426AFFF0" w14:textId="77777777" w:rsidR="00483D15" w:rsidRDefault="00000000">
            <w:pPr>
              <w:pStyle w:val="TableParagraph"/>
              <w:numPr>
                <w:ilvl w:val="0"/>
                <w:numId w:val="14"/>
              </w:numPr>
              <w:tabs>
                <w:tab w:val="left" w:pos="467"/>
              </w:tabs>
              <w:ind w:right="290"/>
              <w:rPr>
                <w:sz w:val="20"/>
              </w:rPr>
            </w:pPr>
            <w:r>
              <w:rPr>
                <w:sz w:val="20"/>
              </w:rPr>
              <w:t xml:space="preserve">The Commonwealth and NSW to ensure prompt and accurate communication regarding how controlled actions are assessed under the EPBC Act and the </w:t>
            </w:r>
            <w:proofErr w:type="spellStart"/>
            <w:r>
              <w:rPr>
                <w:sz w:val="20"/>
              </w:rPr>
              <w:t>finalisation</w:t>
            </w:r>
            <w:proofErr w:type="spellEnd"/>
            <w:r>
              <w:rPr>
                <w:sz w:val="20"/>
              </w:rPr>
              <w:t xml:space="preserve"> of NSW Assessment Reports, to reduce delays in progressing with assessments and approval decisions. Compliance with Schedule 1 of the Agreement to ensure MNES are addressed in the assessment under</w:t>
            </w:r>
            <w:r>
              <w:rPr>
                <w:spacing w:val="-6"/>
                <w:sz w:val="20"/>
              </w:rPr>
              <w:t xml:space="preserve"> </w:t>
            </w:r>
            <w:r>
              <w:rPr>
                <w:sz w:val="20"/>
              </w:rPr>
              <w:t>the</w:t>
            </w:r>
            <w:r>
              <w:rPr>
                <w:spacing w:val="-6"/>
                <w:sz w:val="20"/>
              </w:rPr>
              <w:t xml:space="preserve"> </w:t>
            </w:r>
            <w:r>
              <w:rPr>
                <w:sz w:val="20"/>
              </w:rPr>
              <w:t>NSW</w:t>
            </w:r>
            <w:r>
              <w:rPr>
                <w:spacing w:val="-5"/>
                <w:sz w:val="20"/>
              </w:rPr>
              <w:t xml:space="preserve"> </w:t>
            </w:r>
            <w:r>
              <w:rPr>
                <w:sz w:val="20"/>
              </w:rPr>
              <w:t>process</w:t>
            </w:r>
            <w:r>
              <w:rPr>
                <w:spacing w:val="-5"/>
                <w:sz w:val="20"/>
              </w:rPr>
              <w:t xml:space="preserve"> </w:t>
            </w:r>
            <w:r>
              <w:rPr>
                <w:sz w:val="20"/>
              </w:rPr>
              <w:t>such</w:t>
            </w:r>
            <w:r>
              <w:rPr>
                <w:spacing w:val="-5"/>
                <w:sz w:val="20"/>
              </w:rPr>
              <w:t xml:space="preserve"> </w:t>
            </w:r>
            <w:r>
              <w:rPr>
                <w:sz w:val="20"/>
              </w:rPr>
              <w:t>that</w:t>
            </w:r>
            <w:r>
              <w:rPr>
                <w:spacing w:val="-5"/>
                <w:sz w:val="20"/>
              </w:rPr>
              <w:t xml:space="preserve"> </w:t>
            </w:r>
            <w:r>
              <w:rPr>
                <w:sz w:val="20"/>
              </w:rPr>
              <w:t>statutory</w:t>
            </w:r>
            <w:r>
              <w:rPr>
                <w:spacing w:val="-5"/>
                <w:sz w:val="20"/>
              </w:rPr>
              <w:t xml:space="preserve"> </w:t>
            </w:r>
            <w:r>
              <w:rPr>
                <w:sz w:val="20"/>
              </w:rPr>
              <w:t>requirements</w:t>
            </w:r>
            <w:r>
              <w:rPr>
                <w:spacing w:val="-5"/>
                <w:sz w:val="20"/>
              </w:rPr>
              <w:t xml:space="preserve"> </w:t>
            </w:r>
            <w:r>
              <w:rPr>
                <w:sz w:val="20"/>
              </w:rPr>
              <w:t>under</w:t>
            </w:r>
          </w:p>
          <w:p w14:paraId="1DE96BA3" w14:textId="77777777" w:rsidR="00483D15" w:rsidRDefault="00000000">
            <w:pPr>
              <w:pStyle w:val="TableParagraph"/>
              <w:spacing w:line="225" w:lineRule="exact"/>
              <w:ind w:left="467"/>
              <w:rPr>
                <w:sz w:val="20"/>
              </w:rPr>
            </w:pPr>
            <w:r>
              <w:rPr>
                <w:sz w:val="20"/>
              </w:rPr>
              <w:t>the</w:t>
            </w:r>
            <w:r>
              <w:rPr>
                <w:spacing w:val="-5"/>
                <w:sz w:val="20"/>
              </w:rPr>
              <w:t xml:space="preserve"> </w:t>
            </w:r>
            <w:r>
              <w:rPr>
                <w:sz w:val="20"/>
              </w:rPr>
              <w:t>EPBC</w:t>
            </w:r>
            <w:r>
              <w:rPr>
                <w:spacing w:val="-2"/>
                <w:sz w:val="20"/>
              </w:rPr>
              <w:t xml:space="preserve"> </w:t>
            </w:r>
            <w:r>
              <w:rPr>
                <w:sz w:val="20"/>
              </w:rPr>
              <w:t>Act</w:t>
            </w:r>
            <w:r>
              <w:rPr>
                <w:spacing w:val="-1"/>
                <w:sz w:val="20"/>
              </w:rPr>
              <w:t xml:space="preserve"> </w:t>
            </w:r>
            <w:proofErr w:type="gramStart"/>
            <w:r>
              <w:rPr>
                <w:sz w:val="20"/>
              </w:rPr>
              <w:t>are</w:t>
            </w:r>
            <w:proofErr w:type="gramEnd"/>
            <w:r>
              <w:rPr>
                <w:spacing w:val="-1"/>
                <w:sz w:val="20"/>
              </w:rPr>
              <w:t xml:space="preserve"> </w:t>
            </w:r>
            <w:r>
              <w:rPr>
                <w:spacing w:val="-4"/>
                <w:sz w:val="20"/>
              </w:rPr>
              <w:t>met.</w:t>
            </w:r>
          </w:p>
        </w:tc>
        <w:tc>
          <w:tcPr>
            <w:tcW w:w="3499" w:type="dxa"/>
          </w:tcPr>
          <w:p w14:paraId="1ED310B4" w14:textId="77777777" w:rsidR="00483D15" w:rsidRDefault="00000000">
            <w:pPr>
              <w:pStyle w:val="TableParagraph"/>
              <w:spacing w:line="243" w:lineRule="exact"/>
              <w:ind w:left="106"/>
              <w:rPr>
                <w:sz w:val="20"/>
              </w:rPr>
            </w:pPr>
            <w:r>
              <w:rPr>
                <w:sz w:val="20"/>
              </w:rPr>
              <w:t>Addressed</w:t>
            </w:r>
            <w:r>
              <w:rPr>
                <w:spacing w:val="-6"/>
                <w:sz w:val="20"/>
              </w:rPr>
              <w:t xml:space="preserve"> </w:t>
            </w:r>
            <w:r>
              <w:rPr>
                <w:sz w:val="20"/>
              </w:rPr>
              <w:t>through</w:t>
            </w:r>
            <w:r>
              <w:rPr>
                <w:spacing w:val="-5"/>
                <w:sz w:val="20"/>
              </w:rPr>
              <w:t xml:space="preserve"> BIF</w:t>
            </w:r>
          </w:p>
        </w:tc>
      </w:tr>
      <w:tr w:rsidR="00483D15" w14:paraId="248933AB" w14:textId="77777777">
        <w:trPr>
          <w:trHeight w:val="1327"/>
        </w:trPr>
        <w:tc>
          <w:tcPr>
            <w:tcW w:w="5951" w:type="dxa"/>
          </w:tcPr>
          <w:p w14:paraId="52C3E107" w14:textId="77777777" w:rsidR="00483D15" w:rsidRDefault="00000000">
            <w:pPr>
              <w:pStyle w:val="TableParagraph"/>
              <w:numPr>
                <w:ilvl w:val="0"/>
                <w:numId w:val="13"/>
              </w:numPr>
              <w:tabs>
                <w:tab w:val="left" w:pos="467"/>
              </w:tabs>
              <w:spacing w:line="259" w:lineRule="auto"/>
              <w:ind w:right="166"/>
              <w:rPr>
                <w:sz w:val="20"/>
              </w:rPr>
            </w:pPr>
            <w:r>
              <w:rPr>
                <w:sz w:val="20"/>
              </w:rPr>
              <w:t xml:space="preserve">NSW’s assessment officers’ level of understanding in relation to the assessment requirements for projects subject to the Agreement, to ensure they </w:t>
            </w:r>
            <w:proofErr w:type="gramStart"/>
            <w:r>
              <w:rPr>
                <w:sz w:val="20"/>
              </w:rPr>
              <w:t>are able to</w:t>
            </w:r>
            <w:proofErr w:type="gramEnd"/>
            <w:r>
              <w:rPr>
                <w:sz w:val="20"/>
              </w:rPr>
              <w:t xml:space="preserve"> prepare supplementary environmental</w:t>
            </w:r>
            <w:r>
              <w:rPr>
                <w:spacing w:val="-9"/>
                <w:sz w:val="20"/>
              </w:rPr>
              <w:t xml:space="preserve"> </w:t>
            </w:r>
            <w:r>
              <w:rPr>
                <w:sz w:val="20"/>
              </w:rPr>
              <w:t>assessment</w:t>
            </w:r>
            <w:r>
              <w:rPr>
                <w:spacing w:val="-7"/>
                <w:sz w:val="20"/>
              </w:rPr>
              <w:t xml:space="preserve"> </w:t>
            </w:r>
            <w:r>
              <w:rPr>
                <w:sz w:val="20"/>
              </w:rPr>
              <w:t>requirements</w:t>
            </w:r>
            <w:r>
              <w:rPr>
                <w:spacing w:val="-7"/>
                <w:sz w:val="20"/>
              </w:rPr>
              <w:t xml:space="preserve"> </w:t>
            </w:r>
            <w:r>
              <w:rPr>
                <w:sz w:val="20"/>
              </w:rPr>
              <w:t>and</w:t>
            </w:r>
            <w:r>
              <w:rPr>
                <w:spacing w:val="-7"/>
                <w:sz w:val="20"/>
              </w:rPr>
              <w:t xml:space="preserve"> </w:t>
            </w:r>
            <w:r>
              <w:rPr>
                <w:sz w:val="20"/>
              </w:rPr>
              <w:t>assessment</w:t>
            </w:r>
            <w:r>
              <w:rPr>
                <w:spacing w:val="-7"/>
                <w:sz w:val="20"/>
              </w:rPr>
              <w:t xml:space="preserve"> </w:t>
            </w:r>
            <w:r>
              <w:rPr>
                <w:sz w:val="20"/>
              </w:rPr>
              <w:t>reports</w:t>
            </w:r>
          </w:p>
          <w:p w14:paraId="3F9CA016" w14:textId="77777777" w:rsidR="00483D15" w:rsidRDefault="00000000">
            <w:pPr>
              <w:pStyle w:val="TableParagraph"/>
              <w:spacing w:line="242" w:lineRule="exact"/>
              <w:ind w:left="467"/>
              <w:rPr>
                <w:sz w:val="20"/>
              </w:rPr>
            </w:pPr>
            <w:r>
              <w:rPr>
                <w:sz w:val="20"/>
              </w:rPr>
              <w:t>without</w:t>
            </w:r>
            <w:r>
              <w:rPr>
                <w:spacing w:val="-7"/>
                <w:sz w:val="20"/>
              </w:rPr>
              <w:t xml:space="preserve"> </w:t>
            </w:r>
            <w:r>
              <w:rPr>
                <w:sz w:val="20"/>
              </w:rPr>
              <w:t>Commonwealth</w:t>
            </w:r>
            <w:r>
              <w:rPr>
                <w:spacing w:val="-6"/>
                <w:sz w:val="20"/>
              </w:rPr>
              <w:t xml:space="preserve"> </w:t>
            </w:r>
            <w:r>
              <w:rPr>
                <w:spacing w:val="-2"/>
                <w:sz w:val="20"/>
              </w:rPr>
              <w:t>assistance.</w:t>
            </w:r>
          </w:p>
        </w:tc>
        <w:tc>
          <w:tcPr>
            <w:tcW w:w="3499" w:type="dxa"/>
          </w:tcPr>
          <w:p w14:paraId="76B63DF6" w14:textId="77777777" w:rsidR="00483D15" w:rsidRDefault="00000000">
            <w:pPr>
              <w:pStyle w:val="TableParagraph"/>
              <w:spacing w:line="243" w:lineRule="exact"/>
              <w:ind w:left="106"/>
              <w:rPr>
                <w:sz w:val="20"/>
              </w:rPr>
            </w:pPr>
            <w:r>
              <w:rPr>
                <w:sz w:val="20"/>
              </w:rPr>
              <w:t>Addressed</w:t>
            </w:r>
            <w:r>
              <w:rPr>
                <w:spacing w:val="-6"/>
                <w:sz w:val="20"/>
              </w:rPr>
              <w:t xml:space="preserve"> </w:t>
            </w:r>
            <w:r>
              <w:rPr>
                <w:sz w:val="20"/>
              </w:rPr>
              <w:t>through</w:t>
            </w:r>
            <w:r>
              <w:rPr>
                <w:spacing w:val="-5"/>
                <w:sz w:val="20"/>
              </w:rPr>
              <w:t xml:space="preserve"> BIF</w:t>
            </w:r>
          </w:p>
          <w:p w14:paraId="4873FBA1" w14:textId="77777777" w:rsidR="00483D15" w:rsidRDefault="00000000">
            <w:pPr>
              <w:pStyle w:val="TableParagraph"/>
              <w:ind w:left="106"/>
              <w:rPr>
                <w:sz w:val="20"/>
              </w:rPr>
            </w:pPr>
            <w:r>
              <w:rPr>
                <w:sz w:val="20"/>
              </w:rPr>
              <w:t>(DAWE</w:t>
            </w:r>
            <w:r>
              <w:rPr>
                <w:spacing w:val="-5"/>
                <w:sz w:val="20"/>
              </w:rPr>
              <w:t xml:space="preserve"> </w:t>
            </w:r>
            <w:r>
              <w:rPr>
                <w:sz w:val="20"/>
              </w:rPr>
              <w:t>Assessment</w:t>
            </w:r>
            <w:r>
              <w:rPr>
                <w:spacing w:val="-5"/>
                <w:sz w:val="20"/>
              </w:rPr>
              <w:t xml:space="preserve"> </w:t>
            </w:r>
            <w:r>
              <w:rPr>
                <w:sz w:val="20"/>
              </w:rPr>
              <w:t>Officer</w:t>
            </w:r>
            <w:r>
              <w:rPr>
                <w:spacing w:val="-5"/>
                <w:sz w:val="20"/>
              </w:rPr>
              <w:t xml:space="preserve"> </w:t>
            </w:r>
            <w:r>
              <w:rPr>
                <w:spacing w:val="-2"/>
                <w:sz w:val="20"/>
              </w:rPr>
              <w:t>training)</w:t>
            </w:r>
          </w:p>
        </w:tc>
      </w:tr>
      <w:tr w:rsidR="00483D15" w14:paraId="6B23F132" w14:textId="77777777">
        <w:trPr>
          <w:trHeight w:val="987"/>
        </w:trPr>
        <w:tc>
          <w:tcPr>
            <w:tcW w:w="5951" w:type="dxa"/>
          </w:tcPr>
          <w:p w14:paraId="3E8FFB57" w14:textId="77777777" w:rsidR="00483D15" w:rsidRDefault="00000000">
            <w:pPr>
              <w:pStyle w:val="TableParagraph"/>
              <w:numPr>
                <w:ilvl w:val="0"/>
                <w:numId w:val="12"/>
              </w:numPr>
              <w:tabs>
                <w:tab w:val="left" w:pos="467"/>
              </w:tabs>
              <w:ind w:right="115"/>
              <w:rPr>
                <w:sz w:val="20"/>
              </w:rPr>
            </w:pPr>
            <w:r>
              <w:rPr>
                <w:sz w:val="20"/>
              </w:rPr>
              <w:t>The Commonwealth and NSW to develop procedural guidelines for identifying, assessing and seeking advice from the Independent</w:t>
            </w:r>
            <w:r>
              <w:rPr>
                <w:spacing w:val="-6"/>
                <w:sz w:val="20"/>
              </w:rPr>
              <w:t xml:space="preserve"> </w:t>
            </w:r>
            <w:r>
              <w:rPr>
                <w:sz w:val="20"/>
              </w:rPr>
              <w:t>Expert</w:t>
            </w:r>
            <w:r>
              <w:rPr>
                <w:spacing w:val="-5"/>
                <w:sz w:val="20"/>
              </w:rPr>
              <w:t xml:space="preserve"> </w:t>
            </w:r>
            <w:r>
              <w:rPr>
                <w:sz w:val="20"/>
              </w:rPr>
              <w:t>Scientific</w:t>
            </w:r>
            <w:r>
              <w:rPr>
                <w:spacing w:val="-6"/>
                <w:sz w:val="20"/>
              </w:rPr>
              <w:t xml:space="preserve"> </w:t>
            </w:r>
            <w:r>
              <w:rPr>
                <w:sz w:val="20"/>
              </w:rPr>
              <w:t>Committee</w:t>
            </w:r>
            <w:r>
              <w:rPr>
                <w:spacing w:val="-5"/>
                <w:sz w:val="20"/>
              </w:rPr>
              <w:t xml:space="preserve"> </w:t>
            </w:r>
            <w:r>
              <w:rPr>
                <w:sz w:val="20"/>
              </w:rPr>
              <w:t>(IESC)</w:t>
            </w:r>
            <w:r>
              <w:rPr>
                <w:spacing w:val="-5"/>
                <w:sz w:val="20"/>
              </w:rPr>
              <w:t xml:space="preserve"> </w:t>
            </w:r>
            <w:r>
              <w:rPr>
                <w:sz w:val="20"/>
              </w:rPr>
              <w:t>on</w:t>
            </w:r>
            <w:r>
              <w:rPr>
                <w:spacing w:val="-5"/>
                <w:sz w:val="20"/>
              </w:rPr>
              <w:t xml:space="preserve"> </w:t>
            </w:r>
            <w:r>
              <w:rPr>
                <w:sz w:val="20"/>
              </w:rPr>
              <w:t>Coal</w:t>
            </w:r>
            <w:r>
              <w:rPr>
                <w:spacing w:val="-5"/>
                <w:sz w:val="20"/>
              </w:rPr>
              <w:t xml:space="preserve"> </w:t>
            </w:r>
            <w:r>
              <w:rPr>
                <w:sz w:val="20"/>
              </w:rPr>
              <w:t>Seam</w:t>
            </w:r>
            <w:r>
              <w:rPr>
                <w:spacing w:val="-6"/>
                <w:sz w:val="20"/>
              </w:rPr>
              <w:t xml:space="preserve"> </w:t>
            </w:r>
            <w:r>
              <w:rPr>
                <w:sz w:val="20"/>
              </w:rPr>
              <w:t>Gas</w:t>
            </w:r>
          </w:p>
          <w:p w14:paraId="34AA18BD" w14:textId="77777777" w:rsidR="00483D15" w:rsidRDefault="00000000">
            <w:pPr>
              <w:pStyle w:val="TableParagraph"/>
              <w:spacing w:line="225" w:lineRule="exact"/>
              <w:ind w:left="467"/>
              <w:rPr>
                <w:sz w:val="20"/>
              </w:rPr>
            </w:pPr>
            <w:r>
              <w:rPr>
                <w:sz w:val="20"/>
              </w:rPr>
              <w:t>and</w:t>
            </w:r>
            <w:r>
              <w:rPr>
                <w:spacing w:val="-3"/>
                <w:sz w:val="20"/>
              </w:rPr>
              <w:t xml:space="preserve"> </w:t>
            </w:r>
            <w:r>
              <w:rPr>
                <w:sz w:val="20"/>
              </w:rPr>
              <w:t>Large</w:t>
            </w:r>
            <w:r>
              <w:rPr>
                <w:spacing w:val="-2"/>
                <w:sz w:val="20"/>
              </w:rPr>
              <w:t xml:space="preserve"> </w:t>
            </w:r>
            <w:r>
              <w:rPr>
                <w:sz w:val="20"/>
              </w:rPr>
              <w:t>Coal</w:t>
            </w:r>
            <w:r>
              <w:rPr>
                <w:spacing w:val="-2"/>
                <w:sz w:val="20"/>
              </w:rPr>
              <w:t xml:space="preserve"> </w:t>
            </w:r>
            <w:r>
              <w:rPr>
                <w:sz w:val="20"/>
              </w:rPr>
              <w:t>Mining</w:t>
            </w:r>
            <w:r>
              <w:rPr>
                <w:spacing w:val="-3"/>
                <w:sz w:val="20"/>
              </w:rPr>
              <w:t xml:space="preserve"> </w:t>
            </w:r>
            <w:r>
              <w:rPr>
                <w:spacing w:val="-2"/>
                <w:sz w:val="20"/>
              </w:rPr>
              <w:t>Development.</w:t>
            </w:r>
          </w:p>
        </w:tc>
        <w:tc>
          <w:tcPr>
            <w:tcW w:w="3499" w:type="dxa"/>
          </w:tcPr>
          <w:p w14:paraId="7C83E638" w14:textId="77777777" w:rsidR="00483D15" w:rsidRDefault="00000000">
            <w:pPr>
              <w:pStyle w:val="TableParagraph"/>
              <w:spacing w:line="243" w:lineRule="exact"/>
              <w:ind w:left="106"/>
              <w:rPr>
                <w:sz w:val="20"/>
              </w:rPr>
            </w:pPr>
            <w:r>
              <w:rPr>
                <w:sz w:val="20"/>
              </w:rPr>
              <w:t>Addressed</w:t>
            </w:r>
            <w:r>
              <w:rPr>
                <w:spacing w:val="-6"/>
                <w:sz w:val="20"/>
              </w:rPr>
              <w:t xml:space="preserve"> </w:t>
            </w:r>
            <w:r>
              <w:rPr>
                <w:sz w:val="20"/>
              </w:rPr>
              <w:t>through</w:t>
            </w:r>
            <w:r>
              <w:rPr>
                <w:spacing w:val="-5"/>
                <w:sz w:val="20"/>
              </w:rPr>
              <w:t xml:space="preserve"> BIF</w:t>
            </w:r>
          </w:p>
        </w:tc>
      </w:tr>
      <w:tr w:rsidR="00483D15" w14:paraId="41073C72" w14:textId="77777777">
        <w:trPr>
          <w:trHeight w:val="1230"/>
        </w:trPr>
        <w:tc>
          <w:tcPr>
            <w:tcW w:w="5951" w:type="dxa"/>
          </w:tcPr>
          <w:p w14:paraId="5CE8F8EF" w14:textId="77777777" w:rsidR="00483D15" w:rsidRDefault="00000000">
            <w:pPr>
              <w:pStyle w:val="TableParagraph"/>
              <w:numPr>
                <w:ilvl w:val="0"/>
                <w:numId w:val="11"/>
              </w:numPr>
              <w:tabs>
                <w:tab w:val="left" w:pos="467"/>
              </w:tabs>
              <w:ind w:right="335"/>
              <w:rPr>
                <w:sz w:val="20"/>
              </w:rPr>
            </w:pPr>
            <w:r>
              <w:rPr>
                <w:sz w:val="20"/>
              </w:rPr>
              <w:t>NSW to ensure assessment checklists include a reminder for assessment staff to review all environment impact statements prior to publication, to ensure the proponent has provided the necessary</w:t>
            </w:r>
            <w:r>
              <w:rPr>
                <w:spacing w:val="-5"/>
                <w:sz w:val="20"/>
              </w:rPr>
              <w:t xml:space="preserve"> </w:t>
            </w:r>
            <w:r>
              <w:rPr>
                <w:sz w:val="20"/>
              </w:rPr>
              <w:t>level</w:t>
            </w:r>
            <w:r>
              <w:rPr>
                <w:spacing w:val="-4"/>
                <w:sz w:val="20"/>
              </w:rPr>
              <w:t xml:space="preserve"> </w:t>
            </w:r>
            <w:r>
              <w:rPr>
                <w:sz w:val="20"/>
              </w:rPr>
              <w:t>of</w:t>
            </w:r>
            <w:r>
              <w:rPr>
                <w:spacing w:val="-4"/>
                <w:sz w:val="20"/>
              </w:rPr>
              <w:t xml:space="preserve"> </w:t>
            </w:r>
            <w:r>
              <w:rPr>
                <w:sz w:val="20"/>
              </w:rPr>
              <w:t>detail</w:t>
            </w:r>
            <w:r>
              <w:rPr>
                <w:spacing w:val="-4"/>
                <w:sz w:val="20"/>
              </w:rPr>
              <w:t xml:space="preserve"> </w:t>
            </w:r>
            <w:r>
              <w:rPr>
                <w:sz w:val="20"/>
              </w:rPr>
              <w:t>in</w:t>
            </w:r>
            <w:r>
              <w:rPr>
                <w:spacing w:val="-4"/>
                <w:sz w:val="20"/>
              </w:rPr>
              <w:t xml:space="preserve"> </w:t>
            </w:r>
            <w:r>
              <w:rPr>
                <w:sz w:val="20"/>
              </w:rPr>
              <w:t>relation</w:t>
            </w:r>
            <w:r>
              <w:rPr>
                <w:spacing w:val="-4"/>
                <w:sz w:val="20"/>
              </w:rPr>
              <w:t xml:space="preserve"> </w:t>
            </w:r>
            <w:r>
              <w:rPr>
                <w:sz w:val="20"/>
              </w:rPr>
              <w:t>to</w:t>
            </w:r>
            <w:r>
              <w:rPr>
                <w:spacing w:val="-5"/>
                <w:sz w:val="20"/>
              </w:rPr>
              <w:t xml:space="preserve"> </w:t>
            </w:r>
            <w:r>
              <w:rPr>
                <w:sz w:val="20"/>
              </w:rPr>
              <w:t>impacts</w:t>
            </w:r>
            <w:r>
              <w:rPr>
                <w:spacing w:val="-4"/>
                <w:sz w:val="20"/>
              </w:rPr>
              <w:t xml:space="preserve"> </w:t>
            </w:r>
            <w:r>
              <w:rPr>
                <w:sz w:val="20"/>
              </w:rPr>
              <w:t>on</w:t>
            </w:r>
            <w:r>
              <w:rPr>
                <w:spacing w:val="-4"/>
                <w:sz w:val="20"/>
              </w:rPr>
              <w:t xml:space="preserve"> </w:t>
            </w:r>
            <w:r>
              <w:rPr>
                <w:sz w:val="20"/>
              </w:rPr>
              <w:t>each</w:t>
            </w:r>
            <w:r>
              <w:rPr>
                <w:spacing w:val="-5"/>
                <w:sz w:val="20"/>
              </w:rPr>
              <w:t xml:space="preserve"> </w:t>
            </w:r>
            <w:r>
              <w:rPr>
                <w:sz w:val="20"/>
              </w:rPr>
              <w:t>MNES</w:t>
            </w:r>
            <w:r>
              <w:rPr>
                <w:spacing w:val="-4"/>
                <w:sz w:val="20"/>
              </w:rPr>
              <w:t xml:space="preserve"> </w:t>
            </w:r>
            <w:r>
              <w:rPr>
                <w:sz w:val="20"/>
              </w:rPr>
              <w:t>in</w:t>
            </w:r>
          </w:p>
          <w:p w14:paraId="70A2C6B5" w14:textId="77777777" w:rsidR="00483D15" w:rsidRDefault="00000000">
            <w:pPr>
              <w:pStyle w:val="TableParagraph"/>
              <w:spacing w:line="224" w:lineRule="exact"/>
              <w:ind w:left="467"/>
              <w:rPr>
                <w:sz w:val="20"/>
              </w:rPr>
            </w:pPr>
            <w:r>
              <w:rPr>
                <w:sz w:val="20"/>
              </w:rPr>
              <w:t>accordance</w:t>
            </w:r>
            <w:r>
              <w:rPr>
                <w:spacing w:val="-5"/>
                <w:sz w:val="20"/>
              </w:rPr>
              <w:t xml:space="preserve"> </w:t>
            </w:r>
            <w:r>
              <w:rPr>
                <w:sz w:val="20"/>
              </w:rPr>
              <w:t>with</w:t>
            </w:r>
            <w:r>
              <w:rPr>
                <w:spacing w:val="-4"/>
                <w:sz w:val="20"/>
              </w:rPr>
              <w:t xml:space="preserve"> </w:t>
            </w:r>
            <w:r>
              <w:rPr>
                <w:sz w:val="20"/>
              </w:rPr>
              <w:t>the</w:t>
            </w:r>
            <w:r>
              <w:rPr>
                <w:spacing w:val="-4"/>
                <w:sz w:val="20"/>
              </w:rPr>
              <w:t xml:space="preserve"> </w:t>
            </w:r>
            <w:r>
              <w:rPr>
                <w:sz w:val="20"/>
              </w:rPr>
              <w:t>supplementary</w:t>
            </w:r>
            <w:r>
              <w:rPr>
                <w:spacing w:val="-5"/>
                <w:sz w:val="20"/>
              </w:rPr>
              <w:t xml:space="preserve"> </w:t>
            </w:r>
            <w:r>
              <w:rPr>
                <w:spacing w:val="-2"/>
                <w:sz w:val="20"/>
              </w:rPr>
              <w:t>SEARs.</w:t>
            </w:r>
          </w:p>
        </w:tc>
        <w:tc>
          <w:tcPr>
            <w:tcW w:w="3499" w:type="dxa"/>
          </w:tcPr>
          <w:p w14:paraId="2FADFE73" w14:textId="77777777" w:rsidR="00483D15" w:rsidRDefault="00000000">
            <w:pPr>
              <w:pStyle w:val="TableParagraph"/>
              <w:ind w:left="106" w:right="145"/>
              <w:rPr>
                <w:sz w:val="20"/>
              </w:rPr>
            </w:pPr>
            <w:r>
              <w:rPr>
                <w:sz w:val="20"/>
              </w:rPr>
              <w:t>Done</w:t>
            </w:r>
            <w:r>
              <w:rPr>
                <w:spacing w:val="-8"/>
                <w:sz w:val="20"/>
              </w:rPr>
              <w:t xml:space="preserve"> </w:t>
            </w:r>
            <w:r>
              <w:rPr>
                <w:sz w:val="20"/>
              </w:rPr>
              <w:t>(APP</w:t>
            </w:r>
            <w:r>
              <w:rPr>
                <w:spacing w:val="-9"/>
                <w:sz w:val="20"/>
              </w:rPr>
              <w:t xml:space="preserve"> </w:t>
            </w:r>
            <w:r>
              <w:rPr>
                <w:sz w:val="20"/>
              </w:rPr>
              <w:t>1.9</w:t>
            </w:r>
            <w:r>
              <w:rPr>
                <w:spacing w:val="-8"/>
                <w:sz w:val="20"/>
              </w:rPr>
              <w:t xml:space="preserve"> </w:t>
            </w:r>
            <w:r>
              <w:rPr>
                <w:sz w:val="20"/>
              </w:rPr>
              <w:t>–</w:t>
            </w:r>
            <w:r>
              <w:rPr>
                <w:spacing w:val="-7"/>
                <w:sz w:val="20"/>
              </w:rPr>
              <w:t xml:space="preserve"> </w:t>
            </w:r>
            <w:r>
              <w:rPr>
                <w:sz w:val="20"/>
              </w:rPr>
              <w:t>Assessment</w:t>
            </w:r>
            <w:r>
              <w:rPr>
                <w:spacing w:val="-7"/>
                <w:sz w:val="20"/>
              </w:rPr>
              <w:t xml:space="preserve"> </w:t>
            </w:r>
            <w:r>
              <w:rPr>
                <w:sz w:val="20"/>
              </w:rPr>
              <w:t xml:space="preserve">in accordance with the Bilateral </w:t>
            </w:r>
            <w:r>
              <w:rPr>
                <w:spacing w:val="-2"/>
                <w:sz w:val="20"/>
              </w:rPr>
              <w:t>Agreement)</w:t>
            </w:r>
          </w:p>
        </w:tc>
      </w:tr>
      <w:tr w:rsidR="00483D15" w14:paraId="6A1D2155" w14:textId="77777777">
        <w:trPr>
          <w:trHeight w:val="747"/>
        </w:trPr>
        <w:tc>
          <w:tcPr>
            <w:tcW w:w="5951" w:type="dxa"/>
          </w:tcPr>
          <w:p w14:paraId="4DA6C3DF" w14:textId="77777777" w:rsidR="00483D15" w:rsidRDefault="00000000">
            <w:pPr>
              <w:pStyle w:val="TableParagraph"/>
              <w:numPr>
                <w:ilvl w:val="0"/>
                <w:numId w:val="10"/>
              </w:numPr>
              <w:tabs>
                <w:tab w:val="left" w:pos="467"/>
              </w:tabs>
              <w:spacing w:line="244" w:lineRule="exact"/>
              <w:ind w:right="108"/>
              <w:rPr>
                <w:sz w:val="20"/>
              </w:rPr>
            </w:pPr>
            <w:r>
              <w:rPr>
                <w:sz w:val="20"/>
              </w:rPr>
              <w:t>NSW to maintain records of projects for which expert advice is sought</w:t>
            </w:r>
            <w:r>
              <w:rPr>
                <w:spacing w:val="-4"/>
                <w:sz w:val="20"/>
              </w:rPr>
              <w:t xml:space="preserve"> </w:t>
            </w:r>
            <w:r>
              <w:rPr>
                <w:sz w:val="20"/>
              </w:rPr>
              <w:t>from</w:t>
            </w:r>
            <w:r>
              <w:rPr>
                <w:spacing w:val="-5"/>
                <w:sz w:val="20"/>
              </w:rPr>
              <w:t xml:space="preserve"> </w:t>
            </w:r>
            <w:r>
              <w:rPr>
                <w:sz w:val="20"/>
              </w:rPr>
              <w:t>IESC</w:t>
            </w:r>
            <w:r>
              <w:rPr>
                <w:spacing w:val="-4"/>
                <w:sz w:val="20"/>
              </w:rPr>
              <w:t xml:space="preserve"> </w:t>
            </w:r>
            <w:r>
              <w:rPr>
                <w:sz w:val="20"/>
              </w:rPr>
              <w:t>and/or</w:t>
            </w:r>
            <w:r>
              <w:rPr>
                <w:spacing w:val="-4"/>
                <w:sz w:val="20"/>
              </w:rPr>
              <w:t xml:space="preserve"> </w:t>
            </w:r>
            <w:r>
              <w:rPr>
                <w:sz w:val="20"/>
              </w:rPr>
              <w:t>other</w:t>
            </w:r>
            <w:r>
              <w:rPr>
                <w:spacing w:val="-4"/>
                <w:sz w:val="20"/>
              </w:rPr>
              <w:t xml:space="preserve"> </w:t>
            </w:r>
            <w:r>
              <w:rPr>
                <w:sz w:val="20"/>
              </w:rPr>
              <w:t>expert</w:t>
            </w:r>
            <w:r>
              <w:rPr>
                <w:spacing w:val="-4"/>
                <w:sz w:val="20"/>
              </w:rPr>
              <w:t xml:space="preserve"> </w:t>
            </w:r>
            <w:r>
              <w:rPr>
                <w:sz w:val="20"/>
              </w:rPr>
              <w:t>bodies,</w:t>
            </w:r>
            <w:r>
              <w:rPr>
                <w:spacing w:val="-4"/>
                <w:sz w:val="20"/>
              </w:rPr>
              <w:t xml:space="preserve"> </w:t>
            </w:r>
            <w:r>
              <w:rPr>
                <w:sz w:val="20"/>
              </w:rPr>
              <w:t>to</w:t>
            </w:r>
            <w:r>
              <w:rPr>
                <w:spacing w:val="-4"/>
                <w:sz w:val="20"/>
              </w:rPr>
              <w:t xml:space="preserve"> </w:t>
            </w:r>
            <w:r>
              <w:rPr>
                <w:sz w:val="20"/>
              </w:rPr>
              <w:t>facilitate</w:t>
            </w:r>
            <w:r>
              <w:rPr>
                <w:spacing w:val="-4"/>
                <w:sz w:val="20"/>
              </w:rPr>
              <w:t xml:space="preserve"> </w:t>
            </w:r>
            <w:r>
              <w:rPr>
                <w:sz w:val="20"/>
              </w:rPr>
              <w:t xml:space="preserve">ongoing </w:t>
            </w:r>
            <w:r>
              <w:rPr>
                <w:spacing w:val="-2"/>
                <w:sz w:val="20"/>
              </w:rPr>
              <w:t>monitoring.</w:t>
            </w:r>
          </w:p>
        </w:tc>
        <w:tc>
          <w:tcPr>
            <w:tcW w:w="3499" w:type="dxa"/>
          </w:tcPr>
          <w:p w14:paraId="11B50F6A" w14:textId="77777777" w:rsidR="00483D15" w:rsidRDefault="00000000">
            <w:pPr>
              <w:pStyle w:val="TableParagraph"/>
              <w:ind w:left="106"/>
              <w:rPr>
                <w:sz w:val="20"/>
              </w:rPr>
            </w:pPr>
            <w:r>
              <w:rPr>
                <w:spacing w:val="-4"/>
                <w:sz w:val="20"/>
              </w:rPr>
              <w:t>Done</w:t>
            </w:r>
          </w:p>
        </w:tc>
      </w:tr>
      <w:tr w:rsidR="00483D15" w14:paraId="35AB1533" w14:textId="77777777">
        <w:trPr>
          <w:trHeight w:val="244"/>
        </w:trPr>
        <w:tc>
          <w:tcPr>
            <w:tcW w:w="9450" w:type="dxa"/>
            <w:gridSpan w:val="2"/>
          </w:tcPr>
          <w:p w14:paraId="7A94B32F" w14:textId="77777777" w:rsidR="00483D15" w:rsidRDefault="00000000">
            <w:pPr>
              <w:pStyle w:val="TableParagraph"/>
              <w:spacing w:line="224" w:lineRule="exact"/>
              <w:ind w:left="107"/>
              <w:rPr>
                <w:sz w:val="20"/>
              </w:rPr>
            </w:pPr>
            <w:r>
              <w:rPr>
                <w:sz w:val="20"/>
              </w:rPr>
              <w:t>Relevant</w:t>
            </w:r>
            <w:r>
              <w:rPr>
                <w:spacing w:val="-5"/>
                <w:sz w:val="20"/>
              </w:rPr>
              <w:t xml:space="preserve"> </w:t>
            </w:r>
            <w:r>
              <w:rPr>
                <w:sz w:val="20"/>
              </w:rPr>
              <w:t>plans,</w:t>
            </w:r>
            <w:r>
              <w:rPr>
                <w:spacing w:val="-3"/>
                <w:sz w:val="20"/>
              </w:rPr>
              <w:t xml:space="preserve"> </w:t>
            </w:r>
            <w:r>
              <w:rPr>
                <w:sz w:val="20"/>
              </w:rPr>
              <w:t>policies</w:t>
            </w:r>
            <w:r>
              <w:rPr>
                <w:spacing w:val="-4"/>
                <w:sz w:val="20"/>
              </w:rPr>
              <w:t xml:space="preserve"> </w:t>
            </w:r>
            <w:r>
              <w:rPr>
                <w:sz w:val="20"/>
              </w:rPr>
              <w:t>and</w:t>
            </w:r>
            <w:r>
              <w:rPr>
                <w:spacing w:val="-4"/>
                <w:sz w:val="20"/>
              </w:rPr>
              <w:t xml:space="preserve"> </w:t>
            </w:r>
            <w:r>
              <w:rPr>
                <w:sz w:val="20"/>
              </w:rPr>
              <w:t>other</w:t>
            </w:r>
            <w:r>
              <w:rPr>
                <w:spacing w:val="-3"/>
                <w:sz w:val="20"/>
              </w:rPr>
              <w:t xml:space="preserve"> </w:t>
            </w:r>
            <w:r>
              <w:rPr>
                <w:spacing w:val="-2"/>
                <w:sz w:val="20"/>
              </w:rPr>
              <w:t>instruments</w:t>
            </w:r>
          </w:p>
        </w:tc>
      </w:tr>
      <w:tr w:rsidR="00483D15" w14:paraId="62D7FB33" w14:textId="77777777">
        <w:trPr>
          <w:trHeight w:val="742"/>
        </w:trPr>
        <w:tc>
          <w:tcPr>
            <w:tcW w:w="5951" w:type="dxa"/>
          </w:tcPr>
          <w:p w14:paraId="7F591A91" w14:textId="77777777" w:rsidR="00483D15" w:rsidRDefault="00000000">
            <w:pPr>
              <w:pStyle w:val="TableParagraph"/>
              <w:numPr>
                <w:ilvl w:val="0"/>
                <w:numId w:val="9"/>
              </w:numPr>
              <w:tabs>
                <w:tab w:val="left" w:pos="467"/>
              </w:tabs>
              <w:ind w:right="314"/>
              <w:rPr>
                <w:sz w:val="20"/>
              </w:rPr>
            </w:pPr>
            <w:r>
              <w:rPr>
                <w:sz w:val="20"/>
              </w:rPr>
              <w:t>The</w:t>
            </w:r>
            <w:r>
              <w:rPr>
                <w:spacing w:val="-5"/>
                <w:sz w:val="20"/>
              </w:rPr>
              <w:t xml:space="preserve"> </w:t>
            </w:r>
            <w:r>
              <w:rPr>
                <w:sz w:val="20"/>
              </w:rPr>
              <w:t>Commonwealth</w:t>
            </w:r>
            <w:r>
              <w:rPr>
                <w:spacing w:val="-5"/>
                <w:sz w:val="20"/>
              </w:rPr>
              <w:t xml:space="preserve"> </w:t>
            </w:r>
            <w:r>
              <w:rPr>
                <w:sz w:val="20"/>
              </w:rPr>
              <w:t>and</w:t>
            </w:r>
            <w:r>
              <w:rPr>
                <w:spacing w:val="-6"/>
                <w:sz w:val="20"/>
              </w:rPr>
              <w:t xml:space="preserve"> </w:t>
            </w:r>
            <w:r>
              <w:rPr>
                <w:sz w:val="20"/>
              </w:rPr>
              <w:t>NSW</w:t>
            </w:r>
            <w:r>
              <w:rPr>
                <w:spacing w:val="-5"/>
                <w:sz w:val="20"/>
              </w:rPr>
              <w:t xml:space="preserve"> </w:t>
            </w:r>
            <w:r>
              <w:rPr>
                <w:sz w:val="20"/>
              </w:rPr>
              <w:t>to</w:t>
            </w:r>
            <w:r>
              <w:rPr>
                <w:spacing w:val="-6"/>
                <w:sz w:val="20"/>
              </w:rPr>
              <w:t xml:space="preserve"> </w:t>
            </w:r>
            <w:r>
              <w:rPr>
                <w:sz w:val="20"/>
              </w:rPr>
              <w:t>develop</w:t>
            </w:r>
            <w:r>
              <w:rPr>
                <w:spacing w:val="-7"/>
                <w:sz w:val="20"/>
              </w:rPr>
              <w:t xml:space="preserve"> </w:t>
            </w:r>
            <w:r>
              <w:rPr>
                <w:sz w:val="20"/>
              </w:rPr>
              <w:t>procedural</w:t>
            </w:r>
            <w:r>
              <w:rPr>
                <w:spacing w:val="-7"/>
                <w:sz w:val="20"/>
              </w:rPr>
              <w:t xml:space="preserve"> </w:t>
            </w:r>
            <w:r>
              <w:rPr>
                <w:sz w:val="20"/>
              </w:rPr>
              <w:t>guidelines for assessing and determining applications involving residual</w:t>
            </w:r>
          </w:p>
          <w:p w14:paraId="185D331A" w14:textId="77777777" w:rsidR="00483D15" w:rsidRDefault="00000000">
            <w:pPr>
              <w:pStyle w:val="TableParagraph"/>
              <w:spacing w:line="224" w:lineRule="exact"/>
              <w:ind w:left="467"/>
              <w:rPr>
                <w:sz w:val="20"/>
              </w:rPr>
            </w:pPr>
            <w:r>
              <w:rPr>
                <w:sz w:val="20"/>
              </w:rPr>
              <w:t>significant</w:t>
            </w:r>
            <w:r>
              <w:rPr>
                <w:spacing w:val="-4"/>
                <w:sz w:val="20"/>
              </w:rPr>
              <w:t xml:space="preserve"> </w:t>
            </w:r>
            <w:r>
              <w:rPr>
                <w:sz w:val="20"/>
              </w:rPr>
              <w:t>impacts</w:t>
            </w:r>
            <w:r>
              <w:rPr>
                <w:spacing w:val="-3"/>
                <w:sz w:val="20"/>
              </w:rPr>
              <w:t xml:space="preserve"> </w:t>
            </w:r>
            <w:r>
              <w:rPr>
                <w:sz w:val="20"/>
              </w:rPr>
              <w:t>on</w:t>
            </w:r>
            <w:r>
              <w:rPr>
                <w:spacing w:val="-3"/>
                <w:sz w:val="20"/>
              </w:rPr>
              <w:t xml:space="preserve"> </w:t>
            </w:r>
            <w:r>
              <w:rPr>
                <w:spacing w:val="-4"/>
                <w:sz w:val="20"/>
              </w:rPr>
              <w:t>MNES.</w:t>
            </w:r>
          </w:p>
        </w:tc>
        <w:tc>
          <w:tcPr>
            <w:tcW w:w="3499" w:type="dxa"/>
          </w:tcPr>
          <w:p w14:paraId="4A7E1AD3" w14:textId="77777777" w:rsidR="00483D15" w:rsidRDefault="00000000">
            <w:pPr>
              <w:pStyle w:val="TableParagraph"/>
              <w:spacing w:line="243" w:lineRule="exact"/>
              <w:ind w:left="106"/>
              <w:rPr>
                <w:sz w:val="20"/>
              </w:rPr>
            </w:pPr>
            <w:r>
              <w:rPr>
                <w:sz w:val="20"/>
              </w:rPr>
              <w:t>Addressed</w:t>
            </w:r>
            <w:r>
              <w:rPr>
                <w:spacing w:val="-6"/>
                <w:sz w:val="20"/>
              </w:rPr>
              <w:t xml:space="preserve"> </w:t>
            </w:r>
            <w:r>
              <w:rPr>
                <w:sz w:val="20"/>
              </w:rPr>
              <w:t>through</w:t>
            </w:r>
            <w:r>
              <w:rPr>
                <w:spacing w:val="-5"/>
                <w:sz w:val="20"/>
              </w:rPr>
              <w:t xml:space="preserve"> BIF</w:t>
            </w:r>
          </w:p>
        </w:tc>
      </w:tr>
      <w:tr w:rsidR="00483D15" w14:paraId="00EB1D48" w14:textId="77777777">
        <w:trPr>
          <w:trHeight w:val="711"/>
        </w:trPr>
        <w:tc>
          <w:tcPr>
            <w:tcW w:w="5951" w:type="dxa"/>
          </w:tcPr>
          <w:p w14:paraId="12CCB89C" w14:textId="77777777" w:rsidR="00483D15" w:rsidRDefault="00000000">
            <w:pPr>
              <w:pStyle w:val="TableParagraph"/>
              <w:numPr>
                <w:ilvl w:val="0"/>
                <w:numId w:val="8"/>
              </w:numPr>
              <w:tabs>
                <w:tab w:val="left" w:pos="467"/>
              </w:tabs>
              <w:ind w:right="172"/>
              <w:rPr>
                <w:sz w:val="20"/>
              </w:rPr>
            </w:pPr>
            <w:r>
              <w:rPr>
                <w:sz w:val="20"/>
              </w:rPr>
              <w:t>NSW</w:t>
            </w:r>
            <w:r>
              <w:rPr>
                <w:spacing w:val="-4"/>
                <w:sz w:val="20"/>
              </w:rPr>
              <w:t xml:space="preserve"> </w:t>
            </w:r>
            <w:r>
              <w:rPr>
                <w:sz w:val="20"/>
              </w:rPr>
              <w:t>to</w:t>
            </w:r>
            <w:r>
              <w:rPr>
                <w:spacing w:val="-5"/>
                <w:sz w:val="20"/>
              </w:rPr>
              <w:t xml:space="preserve"> </w:t>
            </w:r>
            <w:r>
              <w:rPr>
                <w:sz w:val="20"/>
              </w:rPr>
              <w:t>ensure</w:t>
            </w:r>
            <w:r>
              <w:rPr>
                <w:spacing w:val="-5"/>
                <w:sz w:val="20"/>
              </w:rPr>
              <w:t xml:space="preserve"> </w:t>
            </w:r>
            <w:r>
              <w:rPr>
                <w:sz w:val="20"/>
              </w:rPr>
              <w:t>more</w:t>
            </w:r>
            <w:r>
              <w:rPr>
                <w:spacing w:val="-4"/>
                <w:sz w:val="20"/>
              </w:rPr>
              <w:t xml:space="preserve"> </w:t>
            </w:r>
            <w:r>
              <w:rPr>
                <w:sz w:val="20"/>
              </w:rPr>
              <w:t>transparency</w:t>
            </w:r>
            <w:r>
              <w:rPr>
                <w:spacing w:val="-4"/>
                <w:sz w:val="20"/>
              </w:rPr>
              <w:t xml:space="preserve"> </w:t>
            </w:r>
            <w:r>
              <w:rPr>
                <w:sz w:val="20"/>
              </w:rPr>
              <w:t>around</w:t>
            </w:r>
            <w:r>
              <w:rPr>
                <w:spacing w:val="-5"/>
                <w:sz w:val="20"/>
              </w:rPr>
              <w:t xml:space="preserve"> </w:t>
            </w:r>
            <w:r>
              <w:rPr>
                <w:sz w:val="20"/>
              </w:rPr>
              <w:t>how</w:t>
            </w:r>
            <w:r>
              <w:rPr>
                <w:spacing w:val="-4"/>
                <w:sz w:val="20"/>
              </w:rPr>
              <w:t xml:space="preserve"> </w:t>
            </w:r>
            <w:r>
              <w:rPr>
                <w:sz w:val="20"/>
              </w:rPr>
              <w:t>the</w:t>
            </w:r>
            <w:r>
              <w:rPr>
                <w:spacing w:val="-5"/>
                <w:sz w:val="20"/>
              </w:rPr>
              <w:t xml:space="preserve"> </w:t>
            </w:r>
            <w:r>
              <w:rPr>
                <w:sz w:val="20"/>
              </w:rPr>
              <w:t>FBA</w:t>
            </w:r>
            <w:r>
              <w:rPr>
                <w:spacing w:val="-4"/>
                <w:sz w:val="20"/>
              </w:rPr>
              <w:t xml:space="preserve"> </w:t>
            </w:r>
            <w:r>
              <w:rPr>
                <w:sz w:val="20"/>
              </w:rPr>
              <w:t>has</w:t>
            </w:r>
            <w:r>
              <w:rPr>
                <w:spacing w:val="-4"/>
                <w:sz w:val="20"/>
              </w:rPr>
              <w:t xml:space="preserve"> </w:t>
            </w:r>
            <w:r>
              <w:rPr>
                <w:sz w:val="20"/>
              </w:rPr>
              <w:t>been applied to MNES and meets the standards of the EPBC Act.</w:t>
            </w:r>
          </w:p>
        </w:tc>
        <w:tc>
          <w:tcPr>
            <w:tcW w:w="3499" w:type="dxa"/>
          </w:tcPr>
          <w:p w14:paraId="52D2ED6C" w14:textId="77777777" w:rsidR="00483D15" w:rsidRDefault="00000000">
            <w:pPr>
              <w:pStyle w:val="TableParagraph"/>
              <w:ind w:left="106"/>
              <w:rPr>
                <w:sz w:val="20"/>
              </w:rPr>
            </w:pPr>
            <w:r>
              <w:rPr>
                <w:sz w:val="20"/>
              </w:rPr>
              <w:t>Addressed</w:t>
            </w:r>
            <w:r>
              <w:rPr>
                <w:spacing w:val="-6"/>
                <w:sz w:val="20"/>
              </w:rPr>
              <w:t xml:space="preserve"> </w:t>
            </w:r>
            <w:r>
              <w:rPr>
                <w:sz w:val="20"/>
              </w:rPr>
              <w:t>through</w:t>
            </w:r>
            <w:r>
              <w:rPr>
                <w:spacing w:val="-5"/>
                <w:sz w:val="20"/>
              </w:rPr>
              <w:t xml:space="preserve"> BIF</w:t>
            </w:r>
          </w:p>
        </w:tc>
      </w:tr>
      <w:tr w:rsidR="00483D15" w14:paraId="6862B9CE" w14:textId="77777777">
        <w:trPr>
          <w:trHeight w:val="987"/>
        </w:trPr>
        <w:tc>
          <w:tcPr>
            <w:tcW w:w="5951" w:type="dxa"/>
          </w:tcPr>
          <w:p w14:paraId="56CF0CDA" w14:textId="77777777" w:rsidR="00483D15" w:rsidRDefault="00000000">
            <w:pPr>
              <w:pStyle w:val="TableParagraph"/>
              <w:numPr>
                <w:ilvl w:val="0"/>
                <w:numId w:val="7"/>
              </w:numPr>
              <w:tabs>
                <w:tab w:val="left" w:pos="467"/>
              </w:tabs>
              <w:ind w:right="571"/>
              <w:jc w:val="both"/>
              <w:rPr>
                <w:sz w:val="20"/>
              </w:rPr>
            </w:pPr>
            <w:r>
              <w:rPr>
                <w:sz w:val="20"/>
              </w:rPr>
              <w:t>NSW</w:t>
            </w:r>
            <w:r>
              <w:rPr>
                <w:spacing w:val="-5"/>
                <w:sz w:val="20"/>
              </w:rPr>
              <w:t xml:space="preserve"> </w:t>
            </w:r>
            <w:r>
              <w:rPr>
                <w:sz w:val="20"/>
              </w:rPr>
              <w:t>to</w:t>
            </w:r>
            <w:r>
              <w:rPr>
                <w:spacing w:val="-6"/>
                <w:sz w:val="20"/>
              </w:rPr>
              <w:t xml:space="preserve"> </w:t>
            </w:r>
            <w:r>
              <w:rPr>
                <w:sz w:val="20"/>
              </w:rPr>
              <w:t>ensure</w:t>
            </w:r>
            <w:r>
              <w:rPr>
                <w:spacing w:val="-6"/>
                <w:sz w:val="20"/>
              </w:rPr>
              <w:t xml:space="preserve"> </w:t>
            </w:r>
            <w:r>
              <w:rPr>
                <w:sz w:val="20"/>
              </w:rPr>
              <w:t>due</w:t>
            </w:r>
            <w:r>
              <w:rPr>
                <w:spacing w:val="-6"/>
                <w:sz w:val="20"/>
              </w:rPr>
              <w:t xml:space="preserve"> </w:t>
            </w:r>
            <w:r>
              <w:rPr>
                <w:sz w:val="20"/>
              </w:rPr>
              <w:t>consideration</w:t>
            </w:r>
            <w:r>
              <w:rPr>
                <w:spacing w:val="-5"/>
                <w:sz w:val="20"/>
              </w:rPr>
              <w:t xml:space="preserve"> </w:t>
            </w:r>
            <w:r>
              <w:rPr>
                <w:sz w:val="20"/>
              </w:rPr>
              <w:t>and/or</w:t>
            </w:r>
            <w:r>
              <w:rPr>
                <w:spacing w:val="-5"/>
                <w:sz w:val="20"/>
              </w:rPr>
              <w:t xml:space="preserve"> </w:t>
            </w:r>
            <w:r>
              <w:rPr>
                <w:sz w:val="20"/>
              </w:rPr>
              <w:t>implementation</w:t>
            </w:r>
            <w:r>
              <w:rPr>
                <w:spacing w:val="-7"/>
                <w:sz w:val="20"/>
              </w:rPr>
              <w:t xml:space="preserve"> </w:t>
            </w:r>
            <w:r>
              <w:rPr>
                <w:sz w:val="20"/>
              </w:rPr>
              <w:t>of relevant plans,</w:t>
            </w:r>
            <w:r>
              <w:rPr>
                <w:spacing w:val="-1"/>
                <w:sz w:val="20"/>
              </w:rPr>
              <w:t xml:space="preserve"> </w:t>
            </w:r>
            <w:r>
              <w:rPr>
                <w:sz w:val="20"/>
              </w:rPr>
              <w:t>policies and other instruments to ensure the environmental outcomes from approved projects meet the</w:t>
            </w:r>
          </w:p>
          <w:p w14:paraId="602CDBCA" w14:textId="77777777" w:rsidR="00483D15" w:rsidRDefault="00000000">
            <w:pPr>
              <w:pStyle w:val="TableParagraph"/>
              <w:spacing w:line="224" w:lineRule="exact"/>
              <w:ind w:left="467"/>
              <w:jc w:val="both"/>
              <w:rPr>
                <w:sz w:val="20"/>
              </w:rPr>
            </w:pPr>
            <w:r>
              <w:rPr>
                <w:sz w:val="20"/>
              </w:rPr>
              <w:t>Commonwealth’s</w:t>
            </w:r>
            <w:r>
              <w:rPr>
                <w:spacing w:val="-10"/>
                <w:sz w:val="20"/>
              </w:rPr>
              <w:t xml:space="preserve"> </w:t>
            </w:r>
            <w:r>
              <w:rPr>
                <w:spacing w:val="-2"/>
                <w:sz w:val="20"/>
              </w:rPr>
              <w:t>standards.</w:t>
            </w:r>
          </w:p>
        </w:tc>
        <w:tc>
          <w:tcPr>
            <w:tcW w:w="3499" w:type="dxa"/>
          </w:tcPr>
          <w:p w14:paraId="33F8BC76" w14:textId="77777777" w:rsidR="00483D15" w:rsidRDefault="00000000">
            <w:pPr>
              <w:pStyle w:val="TableParagraph"/>
              <w:ind w:left="106" w:right="145"/>
              <w:rPr>
                <w:sz w:val="20"/>
              </w:rPr>
            </w:pPr>
            <w:r>
              <w:rPr>
                <w:sz w:val="20"/>
              </w:rPr>
              <w:t>Done</w:t>
            </w:r>
            <w:r>
              <w:rPr>
                <w:spacing w:val="-8"/>
                <w:sz w:val="20"/>
              </w:rPr>
              <w:t xml:space="preserve"> </w:t>
            </w:r>
            <w:r>
              <w:rPr>
                <w:sz w:val="20"/>
              </w:rPr>
              <w:t>(APP</w:t>
            </w:r>
            <w:r>
              <w:rPr>
                <w:spacing w:val="-9"/>
                <w:sz w:val="20"/>
              </w:rPr>
              <w:t xml:space="preserve"> </w:t>
            </w:r>
            <w:r>
              <w:rPr>
                <w:sz w:val="20"/>
              </w:rPr>
              <w:t>1.9</w:t>
            </w:r>
            <w:r>
              <w:rPr>
                <w:spacing w:val="-8"/>
                <w:sz w:val="20"/>
              </w:rPr>
              <w:t xml:space="preserve"> </w:t>
            </w:r>
            <w:r>
              <w:rPr>
                <w:sz w:val="20"/>
              </w:rPr>
              <w:t>–</w:t>
            </w:r>
            <w:r>
              <w:rPr>
                <w:spacing w:val="-7"/>
                <w:sz w:val="20"/>
              </w:rPr>
              <w:t xml:space="preserve"> </w:t>
            </w:r>
            <w:r>
              <w:rPr>
                <w:sz w:val="20"/>
              </w:rPr>
              <w:t>Assessment</w:t>
            </w:r>
            <w:r>
              <w:rPr>
                <w:spacing w:val="-7"/>
                <w:sz w:val="20"/>
              </w:rPr>
              <w:t xml:space="preserve"> </w:t>
            </w:r>
            <w:r>
              <w:rPr>
                <w:sz w:val="20"/>
              </w:rPr>
              <w:t xml:space="preserve">in accordance with the Bilateral </w:t>
            </w:r>
            <w:r>
              <w:rPr>
                <w:spacing w:val="-2"/>
                <w:sz w:val="20"/>
              </w:rPr>
              <w:t>Agreement)</w:t>
            </w:r>
          </w:p>
        </w:tc>
      </w:tr>
      <w:tr w:rsidR="00483D15" w14:paraId="3A2AC400" w14:textId="77777777">
        <w:trPr>
          <w:trHeight w:val="743"/>
        </w:trPr>
        <w:tc>
          <w:tcPr>
            <w:tcW w:w="5951" w:type="dxa"/>
          </w:tcPr>
          <w:p w14:paraId="2E7F03DB" w14:textId="77777777" w:rsidR="00483D15" w:rsidRDefault="00000000">
            <w:pPr>
              <w:pStyle w:val="TableParagraph"/>
              <w:numPr>
                <w:ilvl w:val="0"/>
                <w:numId w:val="6"/>
              </w:numPr>
              <w:tabs>
                <w:tab w:val="left" w:pos="467"/>
              </w:tabs>
              <w:spacing w:line="244" w:lineRule="exact"/>
              <w:ind w:right="142"/>
              <w:rPr>
                <w:sz w:val="20"/>
              </w:rPr>
            </w:pPr>
            <w:r>
              <w:rPr>
                <w:sz w:val="20"/>
              </w:rPr>
              <w:t>NSW to work towards increasing assessment officers’ level of understanding</w:t>
            </w:r>
            <w:r>
              <w:rPr>
                <w:spacing w:val="-6"/>
                <w:sz w:val="20"/>
              </w:rPr>
              <w:t xml:space="preserve"> </w:t>
            </w:r>
            <w:r>
              <w:rPr>
                <w:sz w:val="20"/>
              </w:rPr>
              <w:t>in</w:t>
            </w:r>
            <w:r>
              <w:rPr>
                <w:spacing w:val="-5"/>
                <w:sz w:val="20"/>
              </w:rPr>
              <w:t xml:space="preserve"> </w:t>
            </w:r>
            <w:r>
              <w:rPr>
                <w:sz w:val="20"/>
              </w:rPr>
              <w:t>relation</w:t>
            </w:r>
            <w:r>
              <w:rPr>
                <w:spacing w:val="-5"/>
                <w:sz w:val="20"/>
              </w:rPr>
              <w:t xml:space="preserve"> </w:t>
            </w:r>
            <w:r>
              <w:rPr>
                <w:sz w:val="20"/>
              </w:rPr>
              <w:t>to</w:t>
            </w:r>
            <w:r>
              <w:rPr>
                <w:spacing w:val="-6"/>
                <w:sz w:val="20"/>
              </w:rPr>
              <w:t xml:space="preserve"> </w:t>
            </w:r>
            <w:r>
              <w:rPr>
                <w:sz w:val="20"/>
              </w:rPr>
              <w:t>requirements</w:t>
            </w:r>
            <w:r>
              <w:rPr>
                <w:spacing w:val="-7"/>
                <w:sz w:val="20"/>
              </w:rPr>
              <w:t xml:space="preserve"> </w:t>
            </w:r>
            <w:r>
              <w:rPr>
                <w:sz w:val="20"/>
              </w:rPr>
              <w:t>for</w:t>
            </w:r>
            <w:r>
              <w:rPr>
                <w:spacing w:val="-5"/>
                <w:sz w:val="20"/>
              </w:rPr>
              <w:t xml:space="preserve"> </w:t>
            </w:r>
            <w:r>
              <w:rPr>
                <w:sz w:val="20"/>
              </w:rPr>
              <w:t>offsets</w:t>
            </w:r>
            <w:r>
              <w:rPr>
                <w:spacing w:val="-5"/>
                <w:sz w:val="20"/>
              </w:rPr>
              <w:t xml:space="preserve"> </w:t>
            </w:r>
            <w:r>
              <w:rPr>
                <w:sz w:val="20"/>
              </w:rPr>
              <w:t>(particularly where migratory species are being impacted), to ensure they are</w:t>
            </w:r>
          </w:p>
        </w:tc>
        <w:tc>
          <w:tcPr>
            <w:tcW w:w="3499" w:type="dxa"/>
          </w:tcPr>
          <w:p w14:paraId="59C3B13D" w14:textId="77777777" w:rsidR="00483D15" w:rsidRDefault="00000000">
            <w:pPr>
              <w:pStyle w:val="TableParagraph"/>
              <w:spacing w:line="244" w:lineRule="exact"/>
              <w:ind w:left="106"/>
              <w:rPr>
                <w:sz w:val="20"/>
              </w:rPr>
            </w:pPr>
            <w:r>
              <w:rPr>
                <w:sz w:val="20"/>
              </w:rPr>
              <w:t>Addressed</w:t>
            </w:r>
            <w:r>
              <w:rPr>
                <w:spacing w:val="-6"/>
                <w:sz w:val="20"/>
              </w:rPr>
              <w:t xml:space="preserve"> </w:t>
            </w:r>
            <w:r>
              <w:rPr>
                <w:sz w:val="20"/>
              </w:rPr>
              <w:t>through</w:t>
            </w:r>
            <w:r>
              <w:rPr>
                <w:spacing w:val="-5"/>
                <w:sz w:val="20"/>
              </w:rPr>
              <w:t xml:space="preserve"> BIF</w:t>
            </w:r>
          </w:p>
          <w:p w14:paraId="43735258" w14:textId="77777777" w:rsidR="00483D15" w:rsidRDefault="00000000">
            <w:pPr>
              <w:pStyle w:val="TableParagraph"/>
              <w:spacing w:line="244" w:lineRule="exact"/>
              <w:ind w:left="106"/>
              <w:rPr>
                <w:sz w:val="20"/>
              </w:rPr>
            </w:pPr>
            <w:r>
              <w:rPr>
                <w:sz w:val="20"/>
              </w:rPr>
              <w:t>(DAWE</w:t>
            </w:r>
            <w:r>
              <w:rPr>
                <w:spacing w:val="-5"/>
                <w:sz w:val="20"/>
              </w:rPr>
              <w:t xml:space="preserve"> </w:t>
            </w:r>
            <w:r>
              <w:rPr>
                <w:sz w:val="20"/>
              </w:rPr>
              <w:t>Assessment</w:t>
            </w:r>
            <w:r>
              <w:rPr>
                <w:spacing w:val="-5"/>
                <w:sz w:val="20"/>
              </w:rPr>
              <w:t xml:space="preserve"> </w:t>
            </w:r>
            <w:r>
              <w:rPr>
                <w:sz w:val="20"/>
              </w:rPr>
              <w:t>Officer</w:t>
            </w:r>
            <w:r>
              <w:rPr>
                <w:spacing w:val="-5"/>
                <w:sz w:val="20"/>
              </w:rPr>
              <w:t xml:space="preserve"> </w:t>
            </w:r>
            <w:r>
              <w:rPr>
                <w:spacing w:val="-2"/>
                <w:sz w:val="20"/>
              </w:rPr>
              <w:t>training)</w:t>
            </w:r>
          </w:p>
        </w:tc>
      </w:tr>
    </w:tbl>
    <w:p w14:paraId="15ADF929" w14:textId="77777777" w:rsidR="00483D15" w:rsidRDefault="00483D15">
      <w:pPr>
        <w:pStyle w:val="TableParagraph"/>
        <w:spacing w:line="244" w:lineRule="exact"/>
        <w:rPr>
          <w:sz w:val="20"/>
        </w:rPr>
        <w:sectPr w:rsidR="00483D15">
          <w:type w:val="continuous"/>
          <w:pgSz w:w="11910" w:h="16840"/>
          <w:pgMar w:top="1400" w:right="566" w:bottom="1418" w:left="992" w:header="0" w:footer="1000" w:gutter="0"/>
          <w:cols w:space="720"/>
        </w:sectPr>
      </w:pPr>
    </w:p>
    <w:tbl>
      <w:tblPr>
        <w:tblW w:w="0" w:type="auto"/>
        <w:tblInd w:w="3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5951"/>
        <w:gridCol w:w="3499"/>
      </w:tblGrid>
      <w:tr w:rsidR="00483D15" w14:paraId="2B5200D6" w14:textId="77777777">
        <w:trPr>
          <w:trHeight w:val="299"/>
        </w:trPr>
        <w:tc>
          <w:tcPr>
            <w:tcW w:w="5951" w:type="dxa"/>
          </w:tcPr>
          <w:p w14:paraId="4E3C6679" w14:textId="77777777" w:rsidR="00483D15" w:rsidRDefault="00000000">
            <w:pPr>
              <w:pStyle w:val="TableParagraph"/>
              <w:spacing w:line="243" w:lineRule="exact"/>
              <w:ind w:left="107"/>
              <w:rPr>
                <w:b/>
                <w:sz w:val="20"/>
              </w:rPr>
            </w:pPr>
            <w:r>
              <w:rPr>
                <w:b/>
                <w:sz w:val="20"/>
              </w:rPr>
              <w:lastRenderedPageBreak/>
              <w:t>Priority</w:t>
            </w:r>
            <w:r>
              <w:rPr>
                <w:b/>
                <w:spacing w:val="-5"/>
                <w:sz w:val="20"/>
              </w:rPr>
              <w:t xml:space="preserve"> </w:t>
            </w:r>
            <w:r>
              <w:rPr>
                <w:b/>
                <w:sz w:val="20"/>
              </w:rPr>
              <w:t>initiatives</w:t>
            </w:r>
            <w:r>
              <w:rPr>
                <w:b/>
                <w:spacing w:val="-4"/>
                <w:sz w:val="20"/>
              </w:rPr>
              <w:t xml:space="preserve"> </w:t>
            </w:r>
            <w:r>
              <w:rPr>
                <w:b/>
                <w:sz w:val="20"/>
              </w:rPr>
              <w:t>for</w:t>
            </w:r>
            <w:r>
              <w:rPr>
                <w:b/>
                <w:spacing w:val="-5"/>
                <w:sz w:val="20"/>
              </w:rPr>
              <w:t xml:space="preserve"> </w:t>
            </w:r>
            <w:r>
              <w:rPr>
                <w:b/>
                <w:spacing w:val="-2"/>
                <w:sz w:val="20"/>
              </w:rPr>
              <w:t>improvement</w:t>
            </w:r>
          </w:p>
        </w:tc>
        <w:tc>
          <w:tcPr>
            <w:tcW w:w="3499" w:type="dxa"/>
          </w:tcPr>
          <w:p w14:paraId="7E33FBDB" w14:textId="77777777" w:rsidR="00483D15" w:rsidRDefault="00000000">
            <w:pPr>
              <w:pStyle w:val="TableParagraph"/>
              <w:spacing w:line="243" w:lineRule="exact"/>
              <w:ind w:left="106"/>
              <w:rPr>
                <w:b/>
                <w:sz w:val="20"/>
              </w:rPr>
            </w:pPr>
            <w:r>
              <w:rPr>
                <w:b/>
                <w:sz w:val="20"/>
              </w:rPr>
              <w:t>Action</w:t>
            </w:r>
            <w:r>
              <w:rPr>
                <w:b/>
                <w:spacing w:val="-2"/>
                <w:sz w:val="20"/>
              </w:rPr>
              <w:t xml:space="preserve"> </w:t>
            </w:r>
            <w:r>
              <w:rPr>
                <w:b/>
                <w:sz w:val="20"/>
              </w:rPr>
              <w:t>to</w:t>
            </w:r>
            <w:r>
              <w:rPr>
                <w:b/>
                <w:spacing w:val="-2"/>
                <w:sz w:val="20"/>
              </w:rPr>
              <w:t xml:space="preserve"> </w:t>
            </w:r>
            <w:r>
              <w:rPr>
                <w:b/>
                <w:spacing w:val="-4"/>
                <w:sz w:val="20"/>
              </w:rPr>
              <w:t>date</w:t>
            </w:r>
          </w:p>
        </w:tc>
      </w:tr>
      <w:tr w:rsidR="00483D15" w14:paraId="0764E79E" w14:textId="77777777">
        <w:trPr>
          <w:trHeight w:val="534"/>
        </w:trPr>
        <w:tc>
          <w:tcPr>
            <w:tcW w:w="5951" w:type="dxa"/>
          </w:tcPr>
          <w:p w14:paraId="03F6EA63" w14:textId="77777777" w:rsidR="00483D15" w:rsidRDefault="00000000">
            <w:pPr>
              <w:pStyle w:val="TableParagraph"/>
              <w:ind w:left="467" w:right="68"/>
              <w:rPr>
                <w:sz w:val="20"/>
              </w:rPr>
            </w:pPr>
            <w:r>
              <w:rPr>
                <w:sz w:val="20"/>
              </w:rPr>
              <w:t>able to assess whether the proponent has met these requirements,</w:t>
            </w:r>
            <w:r>
              <w:rPr>
                <w:spacing w:val="-8"/>
                <w:sz w:val="20"/>
              </w:rPr>
              <w:t xml:space="preserve"> </w:t>
            </w:r>
            <w:r>
              <w:rPr>
                <w:sz w:val="20"/>
              </w:rPr>
              <w:t>with</w:t>
            </w:r>
            <w:r>
              <w:rPr>
                <w:spacing w:val="-6"/>
                <w:sz w:val="20"/>
              </w:rPr>
              <w:t xml:space="preserve"> </w:t>
            </w:r>
            <w:r>
              <w:rPr>
                <w:sz w:val="20"/>
              </w:rPr>
              <w:t>limited</w:t>
            </w:r>
            <w:r>
              <w:rPr>
                <w:spacing w:val="-6"/>
                <w:sz w:val="20"/>
              </w:rPr>
              <w:t xml:space="preserve"> </w:t>
            </w:r>
            <w:r>
              <w:rPr>
                <w:sz w:val="20"/>
              </w:rPr>
              <w:t>assistance</w:t>
            </w:r>
            <w:r>
              <w:rPr>
                <w:spacing w:val="-6"/>
                <w:sz w:val="20"/>
              </w:rPr>
              <w:t xml:space="preserve"> </w:t>
            </w:r>
            <w:r>
              <w:rPr>
                <w:sz w:val="20"/>
              </w:rPr>
              <w:t>from</w:t>
            </w:r>
            <w:r>
              <w:rPr>
                <w:spacing w:val="-8"/>
                <w:sz w:val="20"/>
              </w:rPr>
              <w:t xml:space="preserve"> </w:t>
            </w:r>
            <w:r>
              <w:rPr>
                <w:sz w:val="20"/>
              </w:rPr>
              <w:t>the</w:t>
            </w:r>
            <w:r>
              <w:rPr>
                <w:spacing w:val="-6"/>
                <w:sz w:val="20"/>
              </w:rPr>
              <w:t xml:space="preserve"> </w:t>
            </w:r>
            <w:r>
              <w:rPr>
                <w:sz w:val="20"/>
              </w:rPr>
              <w:t>Commonwealth.</w:t>
            </w:r>
          </w:p>
        </w:tc>
        <w:tc>
          <w:tcPr>
            <w:tcW w:w="3499" w:type="dxa"/>
          </w:tcPr>
          <w:p w14:paraId="328A86DF" w14:textId="77777777" w:rsidR="00483D15" w:rsidRDefault="00483D15">
            <w:pPr>
              <w:pStyle w:val="TableParagraph"/>
              <w:ind w:left="0"/>
              <w:rPr>
                <w:rFonts w:ascii="Times New Roman"/>
                <w:sz w:val="20"/>
              </w:rPr>
            </w:pPr>
          </w:p>
        </w:tc>
      </w:tr>
      <w:tr w:rsidR="00483D15" w14:paraId="00C62071" w14:textId="77777777">
        <w:trPr>
          <w:trHeight w:val="243"/>
        </w:trPr>
        <w:tc>
          <w:tcPr>
            <w:tcW w:w="9450" w:type="dxa"/>
            <w:gridSpan w:val="2"/>
          </w:tcPr>
          <w:p w14:paraId="45163A44" w14:textId="77777777" w:rsidR="00483D15" w:rsidRDefault="00000000">
            <w:pPr>
              <w:pStyle w:val="TableParagraph"/>
              <w:spacing w:line="223" w:lineRule="exact"/>
              <w:ind w:left="107"/>
              <w:rPr>
                <w:sz w:val="20"/>
              </w:rPr>
            </w:pPr>
            <w:r>
              <w:rPr>
                <w:sz w:val="20"/>
              </w:rPr>
              <w:t>Communications,</w:t>
            </w:r>
            <w:r>
              <w:rPr>
                <w:spacing w:val="-7"/>
                <w:sz w:val="20"/>
              </w:rPr>
              <w:t xml:space="preserve"> </w:t>
            </w:r>
            <w:r>
              <w:rPr>
                <w:sz w:val="20"/>
              </w:rPr>
              <w:t>reporting</w:t>
            </w:r>
            <w:r>
              <w:rPr>
                <w:spacing w:val="-8"/>
                <w:sz w:val="20"/>
              </w:rPr>
              <w:t xml:space="preserve"> </w:t>
            </w:r>
            <w:r>
              <w:rPr>
                <w:sz w:val="20"/>
              </w:rPr>
              <w:t>and</w:t>
            </w:r>
            <w:r>
              <w:rPr>
                <w:spacing w:val="-8"/>
                <w:sz w:val="20"/>
              </w:rPr>
              <w:t xml:space="preserve"> </w:t>
            </w:r>
            <w:r>
              <w:rPr>
                <w:sz w:val="20"/>
              </w:rPr>
              <w:t>collaborative</w:t>
            </w:r>
            <w:r>
              <w:rPr>
                <w:spacing w:val="-6"/>
                <w:sz w:val="20"/>
              </w:rPr>
              <w:t xml:space="preserve"> </w:t>
            </w:r>
            <w:r>
              <w:rPr>
                <w:spacing w:val="-2"/>
                <w:sz w:val="20"/>
              </w:rPr>
              <w:t>approaches</w:t>
            </w:r>
          </w:p>
        </w:tc>
      </w:tr>
      <w:tr w:rsidR="00483D15" w14:paraId="30D11495" w14:textId="77777777">
        <w:trPr>
          <w:trHeight w:val="1475"/>
        </w:trPr>
        <w:tc>
          <w:tcPr>
            <w:tcW w:w="5951" w:type="dxa"/>
          </w:tcPr>
          <w:p w14:paraId="4BD74B71" w14:textId="77777777" w:rsidR="00483D15" w:rsidRDefault="00000000">
            <w:pPr>
              <w:pStyle w:val="TableParagraph"/>
              <w:numPr>
                <w:ilvl w:val="0"/>
                <w:numId w:val="5"/>
              </w:numPr>
              <w:tabs>
                <w:tab w:val="left" w:pos="467"/>
              </w:tabs>
              <w:ind w:right="100"/>
              <w:rPr>
                <w:sz w:val="20"/>
              </w:rPr>
            </w:pPr>
            <w:r>
              <w:rPr>
                <w:sz w:val="20"/>
              </w:rPr>
              <w:t>The Commonwealth and NSW will provide information on the operation</w:t>
            </w:r>
            <w:r>
              <w:rPr>
                <w:spacing w:val="-5"/>
                <w:sz w:val="20"/>
              </w:rPr>
              <w:t xml:space="preserve"> </w:t>
            </w:r>
            <w:r>
              <w:rPr>
                <w:sz w:val="20"/>
              </w:rPr>
              <w:t>of</w:t>
            </w:r>
            <w:r>
              <w:rPr>
                <w:spacing w:val="-5"/>
                <w:sz w:val="20"/>
              </w:rPr>
              <w:t xml:space="preserve"> </w:t>
            </w:r>
            <w:r>
              <w:rPr>
                <w:sz w:val="20"/>
              </w:rPr>
              <w:t>bilateral</w:t>
            </w:r>
            <w:r>
              <w:rPr>
                <w:spacing w:val="-4"/>
                <w:sz w:val="20"/>
              </w:rPr>
              <w:t xml:space="preserve"> </w:t>
            </w:r>
            <w:r>
              <w:rPr>
                <w:sz w:val="20"/>
              </w:rPr>
              <w:t>assessments</w:t>
            </w:r>
            <w:r>
              <w:rPr>
                <w:spacing w:val="-4"/>
                <w:sz w:val="20"/>
              </w:rPr>
              <w:t xml:space="preserve"> </w:t>
            </w:r>
            <w:r>
              <w:rPr>
                <w:sz w:val="20"/>
              </w:rPr>
              <w:t>on</w:t>
            </w:r>
            <w:r>
              <w:rPr>
                <w:spacing w:val="-5"/>
                <w:sz w:val="20"/>
              </w:rPr>
              <w:t xml:space="preserve"> </w:t>
            </w:r>
            <w:r>
              <w:rPr>
                <w:sz w:val="20"/>
              </w:rPr>
              <w:t>their</w:t>
            </w:r>
            <w:r>
              <w:rPr>
                <w:spacing w:val="-6"/>
                <w:sz w:val="20"/>
              </w:rPr>
              <w:t xml:space="preserve"> </w:t>
            </w:r>
            <w:r>
              <w:rPr>
                <w:sz w:val="20"/>
              </w:rPr>
              <w:t>websites.</w:t>
            </w:r>
            <w:r>
              <w:rPr>
                <w:spacing w:val="-4"/>
                <w:sz w:val="20"/>
              </w:rPr>
              <w:t xml:space="preserve"> </w:t>
            </w:r>
            <w:proofErr w:type="gramStart"/>
            <w:r>
              <w:rPr>
                <w:sz w:val="20"/>
              </w:rPr>
              <w:t>In</w:t>
            </w:r>
            <w:r>
              <w:rPr>
                <w:spacing w:val="-5"/>
                <w:sz w:val="20"/>
              </w:rPr>
              <w:t xml:space="preserve"> </w:t>
            </w:r>
            <w:r>
              <w:rPr>
                <w:sz w:val="20"/>
              </w:rPr>
              <w:t>particular, this</w:t>
            </w:r>
            <w:proofErr w:type="gramEnd"/>
            <w:r>
              <w:rPr>
                <w:sz w:val="20"/>
              </w:rPr>
              <w:t xml:space="preserve"> should include information on how to identify and </w:t>
            </w:r>
            <w:proofErr w:type="spellStart"/>
            <w:r>
              <w:rPr>
                <w:sz w:val="20"/>
              </w:rPr>
              <w:t>characterise</w:t>
            </w:r>
            <w:proofErr w:type="spellEnd"/>
            <w:r>
              <w:rPr>
                <w:sz w:val="20"/>
              </w:rPr>
              <w:t xml:space="preserve"> Commonwealth listed threatened species and communities in such a way that offset liabilities can be calculated</w:t>
            </w:r>
          </w:p>
          <w:p w14:paraId="1D761754" w14:textId="77777777" w:rsidR="00483D15" w:rsidRDefault="00000000">
            <w:pPr>
              <w:pStyle w:val="TableParagraph"/>
              <w:spacing w:line="224" w:lineRule="exact"/>
              <w:ind w:left="467"/>
              <w:rPr>
                <w:sz w:val="20"/>
              </w:rPr>
            </w:pPr>
            <w:r>
              <w:rPr>
                <w:sz w:val="20"/>
              </w:rPr>
              <w:t>wherever</w:t>
            </w:r>
            <w:r>
              <w:rPr>
                <w:spacing w:val="-4"/>
                <w:sz w:val="20"/>
              </w:rPr>
              <w:t xml:space="preserve"> </w:t>
            </w:r>
            <w:r>
              <w:rPr>
                <w:sz w:val="20"/>
              </w:rPr>
              <w:t>possible</w:t>
            </w:r>
            <w:r>
              <w:rPr>
                <w:spacing w:val="-4"/>
                <w:sz w:val="20"/>
              </w:rPr>
              <w:t xml:space="preserve"> </w:t>
            </w:r>
            <w:r>
              <w:rPr>
                <w:sz w:val="20"/>
              </w:rPr>
              <w:t>using</w:t>
            </w:r>
            <w:r>
              <w:rPr>
                <w:spacing w:val="-4"/>
                <w:sz w:val="20"/>
              </w:rPr>
              <w:t xml:space="preserve"> </w:t>
            </w:r>
            <w:r>
              <w:rPr>
                <w:sz w:val="20"/>
              </w:rPr>
              <w:t>the</w:t>
            </w:r>
            <w:r>
              <w:rPr>
                <w:spacing w:val="-7"/>
                <w:sz w:val="20"/>
              </w:rPr>
              <w:t xml:space="preserve"> </w:t>
            </w:r>
            <w:proofErr w:type="spellStart"/>
            <w:r>
              <w:rPr>
                <w:sz w:val="20"/>
              </w:rPr>
              <w:t>BioBanking</w:t>
            </w:r>
            <w:proofErr w:type="spellEnd"/>
            <w:r>
              <w:rPr>
                <w:spacing w:val="-3"/>
                <w:sz w:val="20"/>
              </w:rPr>
              <w:t xml:space="preserve"> </w:t>
            </w:r>
            <w:r>
              <w:rPr>
                <w:spacing w:val="-2"/>
                <w:sz w:val="20"/>
              </w:rPr>
              <w:t>methodology.</w:t>
            </w:r>
          </w:p>
        </w:tc>
        <w:tc>
          <w:tcPr>
            <w:tcW w:w="3499" w:type="dxa"/>
          </w:tcPr>
          <w:p w14:paraId="5669B852" w14:textId="77777777" w:rsidR="00483D15" w:rsidRDefault="00000000">
            <w:pPr>
              <w:pStyle w:val="TableParagraph"/>
              <w:ind w:left="106"/>
              <w:rPr>
                <w:sz w:val="20"/>
              </w:rPr>
            </w:pPr>
            <w:r>
              <w:rPr>
                <w:spacing w:val="-2"/>
                <w:sz w:val="20"/>
              </w:rPr>
              <w:t>Ongoing</w:t>
            </w:r>
          </w:p>
        </w:tc>
      </w:tr>
      <w:tr w:rsidR="00483D15" w14:paraId="0C07AA05" w14:textId="77777777">
        <w:trPr>
          <w:trHeight w:val="987"/>
        </w:trPr>
        <w:tc>
          <w:tcPr>
            <w:tcW w:w="5951" w:type="dxa"/>
          </w:tcPr>
          <w:p w14:paraId="600F5618" w14:textId="77777777" w:rsidR="00483D15" w:rsidRDefault="00000000">
            <w:pPr>
              <w:pStyle w:val="TableParagraph"/>
              <w:numPr>
                <w:ilvl w:val="0"/>
                <w:numId w:val="4"/>
              </w:numPr>
              <w:tabs>
                <w:tab w:val="left" w:pos="467"/>
              </w:tabs>
              <w:ind w:right="228"/>
              <w:rPr>
                <w:sz w:val="20"/>
              </w:rPr>
            </w:pPr>
            <w:r>
              <w:rPr>
                <w:sz w:val="20"/>
              </w:rPr>
              <w:t>NSW will ensure procedures adopted to support the implementation of the Agreement provide for efficient and effective</w:t>
            </w:r>
            <w:r>
              <w:rPr>
                <w:spacing w:val="-5"/>
                <w:sz w:val="20"/>
              </w:rPr>
              <w:t xml:space="preserve"> </w:t>
            </w:r>
            <w:r>
              <w:rPr>
                <w:sz w:val="20"/>
              </w:rPr>
              <w:t>data</w:t>
            </w:r>
            <w:r>
              <w:rPr>
                <w:spacing w:val="-6"/>
                <w:sz w:val="20"/>
              </w:rPr>
              <w:t xml:space="preserve"> </w:t>
            </w:r>
            <w:r>
              <w:rPr>
                <w:sz w:val="20"/>
              </w:rPr>
              <w:t>collection</w:t>
            </w:r>
            <w:r>
              <w:rPr>
                <w:spacing w:val="-6"/>
                <w:sz w:val="20"/>
              </w:rPr>
              <w:t xml:space="preserve"> </w:t>
            </w:r>
            <w:r>
              <w:rPr>
                <w:sz w:val="20"/>
              </w:rPr>
              <w:t>and</w:t>
            </w:r>
            <w:r>
              <w:rPr>
                <w:spacing w:val="-6"/>
                <w:sz w:val="20"/>
              </w:rPr>
              <w:t xml:space="preserve"> </w:t>
            </w:r>
            <w:r>
              <w:rPr>
                <w:sz w:val="20"/>
              </w:rPr>
              <w:t>monitoring</w:t>
            </w:r>
            <w:r>
              <w:rPr>
                <w:spacing w:val="-6"/>
                <w:sz w:val="20"/>
              </w:rPr>
              <w:t xml:space="preserve"> </w:t>
            </w:r>
            <w:r>
              <w:rPr>
                <w:sz w:val="20"/>
              </w:rPr>
              <w:t>and</w:t>
            </w:r>
            <w:r>
              <w:rPr>
                <w:spacing w:val="-5"/>
                <w:sz w:val="20"/>
              </w:rPr>
              <w:t xml:space="preserve"> </w:t>
            </w:r>
            <w:r>
              <w:rPr>
                <w:sz w:val="20"/>
              </w:rPr>
              <w:t>reporting,</w:t>
            </w:r>
            <w:r>
              <w:rPr>
                <w:spacing w:val="-5"/>
                <w:sz w:val="20"/>
              </w:rPr>
              <w:t xml:space="preserve"> </w:t>
            </w:r>
            <w:r>
              <w:rPr>
                <w:sz w:val="20"/>
              </w:rPr>
              <w:t>including</w:t>
            </w:r>
          </w:p>
          <w:p w14:paraId="4766B8E0" w14:textId="77777777" w:rsidR="00483D15" w:rsidRDefault="00000000">
            <w:pPr>
              <w:pStyle w:val="TableParagraph"/>
              <w:spacing w:line="224" w:lineRule="exact"/>
              <w:ind w:left="467"/>
              <w:rPr>
                <w:sz w:val="20"/>
              </w:rPr>
            </w:pPr>
            <w:r>
              <w:rPr>
                <w:sz w:val="20"/>
              </w:rPr>
              <w:t>against</w:t>
            </w:r>
            <w:r>
              <w:rPr>
                <w:spacing w:val="-5"/>
                <w:sz w:val="20"/>
              </w:rPr>
              <w:t xml:space="preserve"> </w:t>
            </w:r>
            <w:r>
              <w:rPr>
                <w:sz w:val="20"/>
              </w:rPr>
              <w:t>key</w:t>
            </w:r>
            <w:r>
              <w:rPr>
                <w:spacing w:val="-4"/>
                <w:sz w:val="20"/>
              </w:rPr>
              <w:t xml:space="preserve"> </w:t>
            </w:r>
            <w:r>
              <w:rPr>
                <w:sz w:val="20"/>
              </w:rPr>
              <w:t>performance</w:t>
            </w:r>
            <w:r>
              <w:rPr>
                <w:spacing w:val="-4"/>
                <w:sz w:val="20"/>
              </w:rPr>
              <w:t xml:space="preserve"> </w:t>
            </w:r>
            <w:r>
              <w:rPr>
                <w:spacing w:val="-2"/>
                <w:sz w:val="20"/>
              </w:rPr>
              <w:t>indicators.</w:t>
            </w:r>
          </w:p>
        </w:tc>
        <w:tc>
          <w:tcPr>
            <w:tcW w:w="3499" w:type="dxa"/>
          </w:tcPr>
          <w:p w14:paraId="4ACF4144" w14:textId="77777777" w:rsidR="00483D15" w:rsidRDefault="00000000">
            <w:pPr>
              <w:pStyle w:val="TableParagraph"/>
              <w:ind w:left="106" w:right="1138"/>
              <w:rPr>
                <w:sz w:val="20"/>
              </w:rPr>
            </w:pPr>
            <w:r>
              <w:rPr>
                <w:sz w:val="20"/>
              </w:rPr>
              <w:t>Addressed</w:t>
            </w:r>
            <w:r>
              <w:rPr>
                <w:spacing w:val="-12"/>
                <w:sz w:val="20"/>
              </w:rPr>
              <w:t xml:space="preserve"> </w:t>
            </w:r>
            <w:r>
              <w:rPr>
                <w:sz w:val="20"/>
              </w:rPr>
              <w:t>through</w:t>
            </w:r>
            <w:r>
              <w:rPr>
                <w:spacing w:val="-11"/>
                <w:sz w:val="20"/>
              </w:rPr>
              <w:t xml:space="preserve"> </w:t>
            </w:r>
            <w:r>
              <w:rPr>
                <w:sz w:val="20"/>
              </w:rPr>
              <w:t>BIF (MER Strategy)</w:t>
            </w:r>
          </w:p>
        </w:tc>
      </w:tr>
      <w:tr w:rsidR="00483D15" w14:paraId="2098C75B" w14:textId="77777777">
        <w:trPr>
          <w:trHeight w:val="1475"/>
        </w:trPr>
        <w:tc>
          <w:tcPr>
            <w:tcW w:w="5951" w:type="dxa"/>
          </w:tcPr>
          <w:p w14:paraId="1D122CE7" w14:textId="77777777" w:rsidR="00483D15" w:rsidRDefault="00000000">
            <w:pPr>
              <w:pStyle w:val="TableParagraph"/>
              <w:numPr>
                <w:ilvl w:val="0"/>
                <w:numId w:val="3"/>
              </w:numPr>
              <w:tabs>
                <w:tab w:val="left" w:pos="467"/>
              </w:tabs>
              <w:ind w:right="109"/>
              <w:rPr>
                <w:sz w:val="20"/>
              </w:rPr>
            </w:pPr>
            <w:r>
              <w:rPr>
                <w:sz w:val="20"/>
              </w:rPr>
              <w:t xml:space="preserve">NSW is currently upgrading its Disability Inclusion Action Plan to increase accessibility among </w:t>
            </w:r>
            <w:proofErr w:type="gramStart"/>
            <w:r>
              <w:rPr>
                <w:sz w:val="20"/>
              </w:rPr>
              <w:t>persons</w:t>
            </w:r>
            <w:proofErr w:type="gramEnd"/>
            <w:r>
              <w:rPr>
                <w:sz w:val="20"/>
              </w:rPr>
              <w:t xml:space="preserve"> with disabilities including visual and auditory impairments, as well as </w:t>
            </w:r>
            <w:proofErr w:type="gramStart"/>
            <w:r>
              <w:rPr>
                <w:sz w:val="20"/>
              </w:rPr>
              <w:t>particular needs</w:t>
            </w:r>
            <w:proofErr w:type="gramEnd"/>
            <w:r>
              <w:rPr>
                <w:sz w:val="20"/>
              </w:rPr>
              <w:t xml:space="preserve"> groups such as those with cognitive and learning disabilities. This will</w:t>
            </w:r>
            <w:r>
              <w:rPr>
                <w:spacing w:val="-5"/>
                <w:sz w:val="20"/>
              </w:rPr>
              <w:t xml:space="preserve"> </w:t>
            </w:r>
            <w:r>
              <w:rPr>
                <w:sz w:val="20"/>
              </w:rPr>
              <w:t>include</w:t>
            </w:r>
            <w:r>
              <w:rPr>
                <w:spacing w:val="-4"/>
                <w:sz w:val="20"/>
              </w:rPr>
              <w:t xml:space="preserve"> </w:t>
            </w:r>
            <w:r>
              <w:rPr>
                <w:sz w:val="20"/>
              </w:rPr>
              <w:t>specific</w:t>
            </w:r>
            <w:r>
              <w:rPr>
                <w:spacing w:val="-5"/>
                <w:sz w:val="20"/>
              </w:rPr>
              <w:t xml:space="preserve"> </w:t>
            </w:r>
            <w:r>
              <w:rPr>
                <w:sz w:val="20"/>
              </w:rPr>
              <w:t>provisions</w:t>
            </w:r>
            <w:r>
              <w:rPr>
                <w:spacing w:val="-5"/>
                <w:sz w:val="20"/>
              </w:rPr>
              <w:t xml:space="preserve"> </w:t>
            </w:r>
            <w:r>
              <w:rPr>
                <w:sz w:val="20"/>
              </w:rPr>
              <w:t>for</w:t>
            </w:r>
            <w:r>
              <w:rPr>
                <w:spacing w:val="-4"/>
                <w:sz w:val="20"/>
              </w:rPr>
              <w:t xml:space="preserve"> </w:t>
            </w:r>
            <w:r>
              <w:rPr>
                <w:sz w:val="20"/>
              </w:rPr>
              <w:t>public</w:t>
            </w:r>
            <w:r>
              <w:rPr>
                <w:spacing w:val="-5"/>
                <w:sz w:val="20"/>
              </w:rPr>
              <w:t xml:space="preserve"> </w:t>
            </w:r>
            <w:r>
              <w:rPr>
                <w:sz w:val="20"/>
              </w:rPr>
              <w:t>consultation</w:t>
            </w:r>
            <w:r>
              <w:rPr>
                <w:spacing w:val="-5"/>
                <w:sz w:val="20"/>
              </w:rPr>
              <w:t xml:space="preserve"> </w:t>
            </w:r>
            <w:r>
              <w:rPr>
                <w:sz w:val="20"/>
              </w:rPr>
              <w:t>sessions,</w:t>
            </w:r>
            <w:r>
              <w:rPr>
                <w:spacing w:val="-4"/>
                <w:sz w:val="20"/>
              </w:rPr>
              <w:t xml:space="preserve"> </w:t>
            </w:r>
            <w:r>
              <w:rPr>
                <w:sz w:val="20"/>
              </w:rPr>
              <w:t>for</w:t>
            </w:r>
          </w:p>
          <w:p w14:paraId="5D515E67" w14:textId="77777777" w:rsidR="00483D15" w:rsidRDefault="00000000">
            <w:pPr>
              <w:pStyle w:val="TableParagraph"/>
              <w:spacing w:line="224" w:lineRule="exact"/>
              <w:ind w:left="467"/>
              <w:rPr>
                <w:sz w:val="20"/>
              </w:rPr>
            </w:pPr>
            <w:r>
              <w:rPr>
                <w:sz w:val="20"/>
              </w:rPr>
              <w:t>example</w:t>
            </w:r>
            <w:r>
              <w:rPr>
                <w:spacing w:val="-5"/>
                <w:sz w:val="20"/>
              </w:rPr>
              <w:t xml:space="preserve"> </w:t>
            </w:r>
            <w:r>
              <w:rPr>
                <w:sz w:val="20"/>
              </w:rPr>
              <w:t>mobility</w:t>
            </w:r>
            <w:r>
              <w:rPr>
                <w:spacing w:val="-5"/>
                <w:sz w:val="20"/>
              </w:rPr>
              <w:t xml:space="preserve"> </w:t>
            </w:r>
            <w:r>
              <w:rPr>
                <w:sz w:val="20"/>
              </w:rPr>
              <w:t>impaired</w:t>
            </w:r>
            <w:r>
              <w:rPr>
                <w:spacing w:val="-5"/>
                <w:sz w:val="20"/>
              </w:rPr>
              <w:t xml:space="preserve"> </w:t>
            </w:r>
            <w:r>
              <w:rPr>
                <w:spacing w:val="-2"/>
                <w:sz w:val="20"/>
              </w:rPr>
              <w:t>persons.</w:t>
            </w:r>
          </w:p>
        </w:tc>
        <w:tc>
          <w:tcPr>
            <w:tcW w:w="3499" w:type="dxa"/>
          </w:tcPr>
          <w:p w14:paraId="159F7002" w14:textId="77777777" w:rsidR="00483D15" w:rsidRDefault="00000000">
            <w:pPr>
              <w:pStyle w:val="TableParagraph"/>
              <w:ind w:left="106"/>
              <w:rPr>
                <w:sz w:val="20"/>
              </w:rPr>
            </w:pPr>
            <w:r>
              <w:rPr>
                <w:spacing w:val="-4"/>
                <w:sz w:val="20"/>
              </w:rPr>
              <w:t>Done</w:t>
            </w:r>
          </w:p>
        </w:tc>
      </w:tr>
      <w:tr w:rsidR="00483D15" w14:paraId="68CA1B45" w14:textId="77777777">
        <w:trPr>
          <w:trHeight w:val="762"/>
        </w:trPr>
        <w:tc>
          <w:tcPr>
            <w:tcW w:w="5951" w:type="dxa"/>
          </w:tcPr>
          <w:p w14:paraId="2024C49A" w14:textId="77777777" w:rsidR="00483D15" w:rsidRDefault="00000000">
            <w:pPr>
              <w:pStyle w:val="TableParagraph"/>
              <w:numPr>
                <w:ilvl w:val="0"/>
                <w:numId w:val="2"/>
              </w:numPr>
              <w:tabs>
                <w:tab w:val="left" w:pos="467"/>
              </w:tabs>
              <w:ind w:right="778"/>
              <w:rPr>
                <w:sz w:val="20"/>
              </w:rPr>
            </w:pPr>
            <w:r>
              <w:rPr>
                <w:sz w:val="20"/>
              </w:rPr>
              <w:t>The</w:t>
            </w:r>
            <w:r>
              <w:rPr>
                <w:spacing w:val="-5"/>
                <w:sz w:val="20"/>
              </w:rPr>
              <w:t xml:space="preserve"> </w:t>
            </w:r>
            <w:r>
              <w:rPr>
                <w:sz w:val="20"/>
              </w:rPr>
              <w:t>Commonwealth</w:t>
            </w:r>
            <w:r>
              <w:rPr>
                <w:spacing w:val="-5"/>
                <w:sz w:val="20"/>
              </w:rPr>
              <w:t xml:space="preserve"> </w:t>
            </w:r>
            <w:r>
              <w:rPr>
                <w:sz w:val="20"/>
              </w:rPr>
              <w:t>and</w:t>
            </w:r>
            <w:r>
              <w:rPr>
                <w:spacing w:val="-6"/>
                <w:sz w:val="20"/>
              </w:rPr>
              <w:t xml:space="preserve"> </w:t>
            </w:r>
            <w:r>
              <w:rPr>
                <w:sz w:val="20"/>
              </w:rPr>
              <w:t>NSW</w:t>
            </w:r>
            <w:r>
              <w:rPr>
                <w:spacing w:val="-5"/>
                <w:sz w:val="20"/>
              </w:rPr>
              <w:t xml:space="preserve"> </w:t>
            </w:r>
            <w:r>
              <w:rPr>
                <w:sz w:val="20"/>
              </w:rPr>
              <w:t>to</w:t>
            </w:r>
            <w:r>
              <w:rPr>
                <w:spacing w:val="-6"/>
                <w:sz w:val="20"/>
              </w:rPr>
              <w:t xml:space="preserve"> </w:t>
            </w:r>
            <w:r>
              <w:rPr>
                <w:sz w:val="20"/>
              </w:rPr>
              <w:t>identify</w:t>
            </w:r>
            <w:r>
              <w:rPr>
                <w:spacing w:val="-5"/>
                <w:sz w:val="20"/>
              </w:rPr>
              <w:t xml:space="preserve"> </w:t>
            </w:r>
            <w:r>
              <w:rPr>
                <w:sz w:val="20"/>
              </w:rPr>
              <w:t>opportunities</w:t>
            </w:r>
            <w:r>
              <w:rPr>
                <w:spacing w:val="-5"/>
                <w:sz w:val="20"/>
              </w:rPr>
              <w:t xml:space="preserve"> </w:t>
            </w:r>
            <w:r>
              <w:rPr>
                <w:sz w:val="20"/>
              </w:rPr>
              <w:t>to improve information sharing regarding compliance and enforcement matters.</w:t>
            </w:r>
          </w:p>
        </w:tc>
        <w:tc>
          <w:tcPr>
            <w:tcW w:w="3499" w:type="dxa"/>
          </w:tcPr>
          <w:p w14:paraId="3D9719EB" w14:textId="77777777" w:rsidR="00483D15" w:rsidRDefault="00000000">
            <w:pPr>
              <w:pStyle w:val="TableParagraph"/>
              <w:ind w:left="106"/>
              <w:rPr>
                <w:sz w:val="20"/>
              </w:rPr>
            </w:pPr>
            <w:r>
              <w:rPr>
                <w:spacing w:val="-2"/>
                <w:sz w:val="20"/>
              </w:rPr>
              <w:t>Ongoing</w:t>
            </w:r>
          </w:p>
        </w:tc>
      </w:tr>
      <w:tr w:rsidR="00483D15" w14:paraId="06E4073D" w14:textId="77777777">
        <w:trPr>
          <w:trHeight w:val="243"/>
        </w:trPr>
        <w:tc>
          <w:tcPr>
            <w:tcW w:w="9450" w:type="dxa"/>
            <w:gridSpan w:val="2"/>
          </w:tcPr>
          <w:p w14:paraId="2C850A2C" w14:textId="77777777" w:rsidR="00483D15" w:rsidRDefault="00000000">
            <w:pPr>
              <w:pStyle w:val="TableParagraph"/>
              <w:spacing w:line="223" w:lineRule="exact"/>
              <w:ind w:left="107"/>
              <w:rPr>
                <w:sz w:val="20"/>
              </w:rPr>
            </w:pPr>
            <w:r>
              <w:rPr>
                <w:sz w:val="20"/>
              </w:rPr>
              <w:t>Administrative</w:t>
            </w:r>
            <w:r>
              <w:rPr>
                <w:spacing w:val="-8"/>
                <w:sz w:val="20"/>
              </w:rPr>
              <w:t xml:space="preserve"> </w:t>
            </w:r>
            <w:r>
              <w:rPr>
                <w:spacing w:val="-2"/>
                <w:sz w:val="20"/>
              </w:rPr>
              <w:t>arrangements</w:t>
            </w:r>
          </w:p>
        </w:tc>
      </w:tr>
      <w:tr w:rsidR="00483D15" w14:paraId="56D7ECD6" w14:textId="77777777">
        <w:trPr>
          <w:trHeight w:val="988"/>
        </w:trPr>
        <w:tc>
          <w:tcPr>
            <w:tcW w:w="5951" w:type="dxa"/>
          </w:tcPr>
          <w:p w14:paraId="74F66D0C" w14:textId="77777777" w:rsidR="00483D15" w:rsidRDefault="00000000">
            <w:pPr>
              <w:pStyle w:val="TableParagraph"/>
              <w:numPr>
                <w:ilvl w:val="0"/>
                <w:numId w:val="1"/>
              </w:numPr>
              <w:tabs>
                <w:tab w:val="left" w:pos="467"/>
              </w:tabs>
              <w:ind w:right="519"/>
              <w:rPr>
                <w:sz w:val="20"/>
              </w:rPr>
            </w:pPr>
            <w:r>
              <w:rPr>
                <w:sz w:val="20"/>
              </w:rPr>
              <w:t xml:space="preserve">The Commonwealth and NSW </w:t>
            </w:r>
            <w:proofErr w:type="gramStart"/>
            <w:r>
              <w:rPr>
                <w:sz w:val="20"/>
              </w:rPr>
              <w:t>to review</w:t>
            </w:r>
            <w:proofErr w:type="gramEnd"/>
            <w:r>
              <w:rPr>
                <w:sz w:val="20"/>
              </w:rPr>
              <w:t xml:space="preserve"> the Administrative Arrangements</w:t>
            </w:r>
            <w:r>
              <w:rPr>
                <w:spacing w:val="-5"/>
                <w:sz w:val="20"/>
              </w:rPr>
              <w:t xml:space="preserve"> </w:t>
            </w:r>
            <w:r>
              <w:rPr>
                <w:sz w:val="20"/>
              </w:rPr>
              <w:t>to</w:t>
            </w:r>
            <w:r>
              <w:rPr>
                <w:spacing w:val="-4"/>
                <w:sz w:val="20"/>
              </w:rPr>
              <w:t xml:space="preserve"> </w:t>
            </w:r>
            <w:r>
              <w:rPr>
                <w:sz w:val="20"/>
              </w:rPr>
              <w:t>ensure</w:t>
            </w:r>
            <w:r>
              <w:rPr>
                <w:spacing w:val="-5"/>
                <w:sz w:val="20"/>
              </w:rPr>
              <w:t xml:space="preserve"> </w:t>
            </w:r>
            <w:r>
              <w:rPr>
                <w:sz w:val="20"/>
              </w:rPr>
              <w:t>they</w:t>
            </w:r>
            <w:r>
              <w:rPr>
                <w:spacing w:val="-5"/>
                <w:sz w:val="20"/>
              </w:rPr>
              <w:t xml:space="preserve"> </w:t>
            </w:r>
            <w:r>
              <w:rPr>
                <w:sz w:val="20"/>
              </w:rPr>
              <w:t>provide</w:t>
            </w:r>
            <w:r>
              <w:rPr>
                <w:spacing w:val="-4"/>
                <w:sz w:val="20"/>
              </w:rPr>
              <w:t xml:space="preserve"> </w:t>
            </w:r>
            <w:r>
              <w:rPr>
                <w:sz w:val="20"/>
              </w:rPr>
              <w:t>an</w:t>
            </w:r>
            <w:r>
              <w:rPr>
                <w:spacing w:val="-5"/>
                <w:sz w:val="20"/>
              </w:rPr>
              <w:t xml:space="preserve"> </w:t>
            </w:r>
            <w:r>
              <w:rPr>
                <w:sz w:val="20"/>
              </w:rPr>
              <w:t>appropriate</w:t>
            </w:r>
            <w:r>
              <w:rPr>
                <w:spacing w:val="-4"/>
                <w:sz w:val="20"/>
              </w:rPr>
              <w:t xml:space="preserve"> </w:t>
            </w:r>
            <w:r>
              <w:rPr>
                <w:sz w:val="20"/>
              </w:rPr>
              <w:t>level</w:t>
            </w:r>
            <w:r>
              <w:rPr>
                <w:spacing w:val="-5"/>
                <w:sz w:val="20"/>
              </w:rPr>
              <w:t xml:space="preserve"> </w:t>
            </w:r>
            <w:r>
              <w:rPr>
                <w:sz w:val="20"/>
              </w:rPr>
              <w:t>of guidance</w:t>
            </w:r>
            <w:r>
              <w:rPr>
                <w:spacing w:val="-6"/>
                <w:sz w:val="20"/>
              </w:rPr>
              <w:t xml:space="preserve"> </w:t>
            </w:r>
            <w:r>
              <w:rPr>
                <w:sz w:val="20"/>
              </w:rPr>
              <w:t>for</w:t>
            </w:r>
            <w:r>
              <w:rPr>
                <w:spacing w:val="-5"/>
                <w:sz w:val="20"/>
              </w:rPr>
              <w:t xml:space="preserve"> </w:t>
            </w:r>
            <w:r>
              <w:rPr>
                <w:sz w:val="20"/>
              </w:rPr>
              <w:t>assessment</w:t>
            </w:r>
            <w:r>
              <w:rPr>
                <w:spacing w:val="-5"/>
                <w:sz w:val="20"/>
              </w:rPr>
              <w:t xml:space="preserve"> </w:t>
            </w:r>
            <w:r>
              <w:rPr>
                <w:sz w:val="20"/>
              </w:rPr>
              <w:t>officers,</w:t>
            </w:r>
            <w:r>
              <w:rPr>
                <w:spacing w:val="-5"/>
                <w:sz w:val="20"/>
              </w:rPr>
              <w:t xml:space="preserve"> </w:t>
            </w:r>
            <w:r>
              <w:rPr>
                <w:sz w:val="20"/>
              </w:rPr>
              <w:t>particularly</w:t>
            </w:r>
            <w:r>
              <w:rPr>
                <w:spacing w:val="-5"/>
                <w:sz w:val="20"/>
              </w:rPr>
              <w:t xml:space="preserve"> </w:t>
            </w:r>
            <w:r>
              <w:rPr>
                <w:sz w:val="20"/>
              </w:rPr>
              <w:t>with</w:t>
            </w:r>
            <w:r>
              <w:rPr>
                <w:spacing w:val="-5"/>
                <w:sz w:val="20"/>
              </w:rPr>
              <w:t xml:space="preserve"> </w:t>
            </w:r>
            <w:r>
              <w:rPr>
                <w:sz w:val="20"/>
              </w:rPr>
              <w:t>regards</w:t>
            </w:r>
            <w:r>
              <w:rPr>
                <w:spacing w:val="-7"/>
                <w:sz w:val="20"/>
              </w:rPr>
              <w:t xml:space="preserve"> </w:t>
            </w:r>
            <w:r>
              <w:rPr>
                <w:sz w:val="20"/>
              </w:rPr>
              <w:t>to</w:t>
            </w:r>
          </w:p>
          <w:p w14:paraId="2CC266E9" w14:textId="77777777" w:rsidR="00483D15" w:rsidRDefault="00000000">
            <w:pPr>
              <w:pStyle w:val="TableParagraph"/>
              <w:spacing w:line="225" w:lineRule="exact"/>
              <w:ind w:left="467"/>
              <w:rPr>
                <w:sz w:val="20"/>
              </w:rPr>
            </w:pPr>
            <w:r>
              <w:rPr>
                <w:sz w:val="20"/>
              </w:rPr>
              <w:t>information</w:t>
            </w:r>
            <w:r>
              <w:rPr>
                <w:spacing w:val="-4"/>
                <w:sz w:val="20"/>
              </w:rPr>
              <w:t xml:space="preserve"> </w:t>
            </w:r>
            <w:r>
              <w:rPr>
                <w:sz w:val="20"/>
              </w:rPr>
              <w:t>sharing</w:t>
            </w:r>
            <w:r>
              <w:rPr>
                <w:spacing w:val="-4"/>
                <w:sz w:val="20"/>
              </w:rPr>
              <w:t xml:space="preserve"> </w:t>
            </w:r>
            <w:r>
              <w:rPr>
                <w:sz w:val="20"/>
              </w:rPr>
              <w:t>with</w:t>
            </w:r>
            <w:r>
              <w:rPr>
                <w:spacing w:val="-5"/>
                <w:sz w:val="20"/>
              </w:rPr>
              <w:t xml:space="preserve"> </w:t>
            </w:r>
            <w:r>
              <w:rPr>
                <w:sz w:val="20"/>
              </w:rPr>
              <w:t>the</w:t>
            </w:r>
            <w:r>
              <w:rPr>
                <w:spacing w:val="-5"/>
                <w:sz w:val="20"/>
              </w:rPr>
              <w:t xml:space="preserve"> </w:t>
            </w:r>
            <w:r>
              <w:rPr>
                <w:spacing w:val="-2"/>
                <w:sz w:val="20"/>
              </w:rPr>
              <w:t>Commonwealth.</w:t>
            </w:r>
          </w:p>
        </w:tc>
        <w:tc>
          <w:tcPr>
            <w:tcW w:w="3499" w:type="dxa"/>
          </w:tcPr>
          <w:p w14:paraId="38F2D4BB" w14:textId="77777777" w:rsidR="00483D15" w:rsidRDefault="00000000">
            <w:pPr>
              <w:pStyle w:val="TableParagraph"/>
              <w:ind w:left="106"/>
              <w:rPr>
                <w:sz w:val="20"/>
              </w:rPr>
            </w:pPr>
            <w:r>
              <w:rPr>
                <w:spacing w:val="-4"/>
                <w:sz w:val="20"/>
              </w:rPr>
              <w:t>Done</w:t>
            </w:r>
          </w:p>
        </w:tc>
      </w:tr>
    </w:tbl>
    <w:p w14:paraId="34A5C4F4" w14:textId="77777777" w:rsidR="00483D15" w:rsidRDefault="00483D15">
      <w:pPr>
        <w:pStyle w:val="TableParagraph"/>
        <w:rPr>
          <w:sz w:val="20"/>
        </w:rPr>
        <w:sectPr w:rsidR="00483D15">
          <w:type w:val="continuous"/>
          <w:pgSz w:w="11910" w:h="16840"/>
          <w:pgMar w:top="1400" w:right="566" w:bottom="1200" w:left="992" w:header="0" w:footer="1000" w:gutter="0"/>
          <w:cols w:space="720"/>
        </w:sectPr>
      </w:pPr>
    </w:p>
    <w:p w14:paraId="56819E1B" w14:textId="77777777" w:rsidR="00483D15" w:rsidRDefault="00000000">
      <w:pPr>
        <w:pStyle w:val="Heading3"/>
      </w:pPr>
      <w:r>
        <w:lastRenderedPageBreak/>
        <w:t>APPENDIX</w:t>
      </w:r>
      <w:r>
        <w:rPr>
          <w:spacing w:val="-4"/>
        </w:rPr>
        <w:t xml:space="preserve"> </w:t>
      </w:r>
      <w:r>
        <w:t>B</w:t>
      </w:r>
      <w:r>
        <w:rPr>
          <w:spacing w:val="-2"/>
        </w:rPr>
        <w:t xml:space="preserve"> </w:t>
      </w:r>
      <w:r>
        <w:t>–</w:t>
      </w:r>
      <w:r>
        <w:rPr>
          <w:spacing w:val="-3"/>
        </w:rPr>
        <w:t xml:space="preserve"> </w:t>
      </w:r>
      <w:r>
        <w:t>PROJECTS</w:t>
      </w:r>
      <w:r>
        <w:rPr>
          <w:spacing w:val="-3"/>
        </w:rPr>
        <w:t xml:space="preserve"> </w:t>
      </w:r>
      <w:r>
        <w:t>ANALYSED</w:t>
      </w:r>
      <w:r>
        <w:rPr>
          <w:spacing w:val="-3"/>
        </w:rPr>
        <w:t xml:space="preserve"> </w:t>
      </w:r>
      <w:r>
        <w:t>FOR</w:t>
      </w:r>
      <w:r>
        <w:rPr>
          <w:spacing w:val="-2"/>
        </w:rPr>
        <w:t xml:space="preserve"> </w:t>
      </w:r>
      <w:r>
        <w:t>THIS</w:t>
      </w:r>
      <w:r>
        <w:rPr>
          <w:spacing w:val="-2"/>
        </w:rPr>
        <w:t xml:space="preserve"> REVIEW</w:t>
      </w:r>
    </w:p>
    <w:p w14:paraId="459B4701" w14:textId="77777777" w:rsidR="00483D15" w:rsidRDefault="00000000">
      <w:pPr>
        <w:pStyle w:val="BodyText"/>
        <w:spacing w:before="258" w:line="360" w:lineRule="auto"/>
        <w:ind w:left="21" w:right="923"/>
      </w:pPr>
      <w:r>
        <w:t>Table</w:t>
      </w:r>
      <w:r>
        <w:rPr>
          <w:spacing w:val="-3"/>
        </w:rPr>
        <w:t xml:space="preserve"> </w:t>
      </w:r>
      <w:r>
        <w:t>B1</w:t>
      </w:r>
      <w:r>
        <w:rPr>
          <w:spacing w:val="-3"/>
        </w:rPr>
        <w:t xml:space="preserve"> </w:t>
      </w:r>
      <w:r>
        <w:t>lists</w:t>
      </w:r>
      <w:r>
        <w:rPr>
          <w:spacing w:val="-1"/>
        </w:rPr>
        <w:t xml:space="preserve"> </w:t>
      </w:r>
      <w:r>
        <w:t>the</w:t>
      </w:r>
      <w:r>
        <w:rPr>
          <w:spacing w:val="-3"/>
        </w:rPr>
        <w:t xml:space="preserve"> </w:t>
      </w:r>
      <w:r>
        <w:t>21</w:t>
      </w:r>
      <w:r>
        <w:rPr>
          <w:spacing w:val="-2"/>
        </w:rPr>
        <w:t xml:space="preserve"> </w:t>
      </w:r>
      <w:r>
        <w:t>projects</w:t>
      </w:r>
      <w:r>
        <w:rPr>
          <w:spacing w:val="-3"/>
        </w:rPr>
        <w:t xml:space="preserve"> </w:t>
      </w:r>
      <w:proofErr w:type="spellStart"/>
      <w:r>
        <w:t>analysed</w:t>
      </w:r>
      <w:proofErr w:type="spellEnd"/>
      <w:r>
        <w:rPr>
          <w:spacing w:val="-3"/>
        </w:rPr>
        <w:t xml:space="preserve"> </w:t>
      </w:r>
      <w:r>
        <w:t>for</w:t>
      </w:r>
      <w:r>
        <w:rPr>
          <w:spacing w:val="-3"/>
        </w:rPr>
        <w:t xml:space="preserve"> </w:t>
      </w:r>
      <w:r>
        <w:t>this</w:t>
      </w:r>
      <w:r>
        <w:rPr>
          <w:spacing w:val="-3"/>
        </w:rPr>
        <w:t xml:space="preserve"> </w:t>
      </w:r>
      <w:r>
        <w:t>review.</w:t>
      </w:r>
      <w:r>
        <w:rPr>
          <w:spacing w:val="-3"/>
        </w:rPr>
        <w:t xml:space="preserve"> </w:t>
      </w:r>
      <w:r>
        <w:t>These</w:t>
      </w:r>
      <w:r>
        <w:rPr>
          <w:spacing w:val="-3"/>
        </w:rPr>
        <w:t xml:space="preserve"> </w:t>
      </w:r>
      <w:r>
        <w:t>projects</w:t>
      </w:r>
      <w:r>
        <w:rPr>
          <w:spacing w:val="-3"/>
        </w:rPr>
        <w:t xml:space="preserve"> </w:t>
      </w:r>
      <w:r>
        <w:t>have</w:t>
      </w:r>
      <w:r>
        <w:rPr>
          <w:spacing w:val="-2"/>
        </w:rPr>
        <w:t xml:space="preserve"> </w:t>
      </w:r>
      <w:r>
        <w:t>been</w:t>
      </w:r>
      <w:r>
        <w:rPr>
          <w:spacing w:val="-3"/>
        </w:rPr>
        <w:t xml:space="preserve"> </w:t>
      </w:r>
      <w:r>
        <w:t>determined</w:t>
      </w:r>
      <w:r>
        <w:rPr>
          <w:spacing w:val="-2"/>
        </w:rPr>
        <w:t xml:space="preserve"> </w:t>
      </w:r>
      <w:r>
        <w:t>through</w:t>
      </w:r>
      <w:r>
        <w:rPr>
          <w:spacing w:val="-3"/>
        </w:rPr>
        <w:t xml:space="preserve"> </w:t>
      </w:r>
      <w:r>
        <w:t>a Bilateral Assessment. Projects currently being assessed are not included.</w:t>
      </w:r>
    </w:p>
    <w:p w14:paraId="70FFB8FE" w14:textId="77777777" w:rsidR="00483D15" w:rsidRDefault="00000000" w:rsidP="00F22427">
      <w:pPr>
        <w:pStyle w:val="Caption"/>
      </w:pPr>
      <w:r>
        <w:t>Table</w:t>
      </w:r>
      <w:r>
        <w:rPr>
          <w:spacing w:val="-6"/>
        </w:rPr>
        <w:t xml:space="preserve"> </w:t>
      </w:r>
      <w:r>
        <w:t>B1</w:t>
      </w:r>
      <w:r>
        <w:rPr>
          <w:spacing w:val="-4"/>
        </w:rPr>
        <w:t xml:space="preserve"> </w:t>
      </w:r>
      <w:r>
        <w:t>|</w:t>
      </w:r>
      <w:r>
        <w:rPr>
          <w:spacing w:val="-6"/>
        </w:rPr>
        <w:t xml:space="preserve"> </w:t>
      </w:r>
      <w:r>
        <w:t>List</w:t>
      </w:r>
      <w:r>
        <w:rPr>
          <w:spacing w:val="-5"/>
        </w:rPr>
        <w:t xml:space="preserve"> </w:t>
      </w:r>
      <w:r>
        <w:t>of</w:t>
      </w:r>
      <w:r>
        <w:rPr>
          <w:spacing w:val="-6"/>
        </w:rPr>
        <w:t xml:space="preserve"> </w:t>
      </w:r>
      <w:r>
        <w:t>projects</w:t>
      </w:r>
      <w:r>
        <w:rPr>
          <w:spacing w:val="-4"/>
        </w:rPr>
        <w:t xml:space="preserve"> </w:t>
      </w:r>
      <w:proofErr w:type="spellStart"/>
      <w:r>
        <w:t>analysed</w:t>
      </w:r>
      <w:proofErr w:type="spellEnd"/>
      <w:r>
        <w:rPr>
          <w:spacing w:val="-5"/>
        </w:rPr>
        <w:t xml:space="preserve"> </w:t>
      </w:r>
      <w:r>
        <w:t>for</w:t>
      </w:r>
      <w:r>
        <w:rPr>
          <w:spacing w:val="-6"/>
        </w:rPr>
        <w:t xml:space="preserve"> </w:t>
      </w:r>
      <w:r>
        <w:t>this</w:t>
      </w:r>
      <w:r>
        <w:rPr>
          <w:spacing w:val="-6"/>
        </w:rPr>
        <w:t xml:space="preserve"> </w:t>
      </w:r>
      <w:r>
        <w:rPr>
          <w:spacing w:val="-2"/>
        </w:rPr>
        <w:t>review</w:t>
      </w:r>
    </w:p>
    <w:p w14:paraId="1D68DAFE" w14:textId="77777777" w:rsidR="00483D15" w:rsidRDefault="00483D15">
      <w:pPr>
        <w:pStyle w:val="BodyText"/>
        <w:spacing w:before="1"/>
        <w:rPr>
          <w:sz w:val="20"/>
        </w:rPr>
      </w:pPr>
    </w:p>
    <w:tbl>
      <w:tblPr>
        <w:tblW w:w="0" w:type="auto"/>
        <w:tblInd w:w="441" w:type="dxa"/>
        <w:tblLayout w:type="fixed"/>
        <w:tblCellMar>
          <w:left w:w="0" w:type="dxa"/>
          <w:right w:w="0" w:type="dxa"/>
        </w:tblCellMar>
        <w:tblLook w:val="01E0" w:firstRow="1" w:lastRow="1" w:firstColumn="1" w:lastColumn="1" w:noHBand="0" w:noVBand="0"/>
      </w:tblPr>
      <w:tblGrid>
        <w:gridCol w:w="388"/>
        <w:gridCol w:w="2745"/>
        <w:gridCol w:w="3119"/>
        <w:gridCol w:w="1276"/>
        <w:gridCol w:w="1480"/>
      </w:tblGrid>
      <w:tr w:rsidR="00483D15" w14:paraId="05260358" w14:textId="77777777">
        <w:trPr>
          <w:trHeight w:val="865"/>
        </w:trPr>
        <w:tc>
          <w:tcPr>
            <w:tcW w:w="388" w:type="dxa"/>
            <w:shd w:val="clear" w:color="auto" w:fill="4471C4"/>
          </w:tcPr>
          <w:p w14:paraId="5AA5F958" w14:textId="77777777" w:rsidR="00483D15" w:rsidRDefault="00000000">
            <w:pPr>
              <w:pStyle w:val="TableParagraph"/>
              <w:spacing w:before="56"/>
              <w:ind w:left="15" w:right="103"/>
              <w:jc w:val="center"/>
              <w:rPr>
                <w:b/>
                <w:sz w:val="20"/>
              </w:rPr>
            </w:pPr>
            <w:r>
              <w:rPr>
                <w:b/>
                <w:color w:val="E7E6E6"/>
                <w:spacing w:val="-10"/>
                <w:sz w:val="20"/>
              </w:rPr>
              <w:t>#</w:t>
            </w:r>
          </w:p>
        </w:tc>
        <w:tc>
          <w:tcPr>
            <w:tcW w:w="2745" w:type="dxa"/>
            <w:tcBorders>
              <w:right w:val="single" w:sz="8" w:space="0" w:color="FFFFFF"/>
            </w:tcBorders>
            <w:shd w:val="clear" w:color="auto" w:fill="4471C4"/>
          </w:tcPr>
          <w:p w14:paraId="2C5B9237" w14:textId="77777777" w:rsidR="00483D15" w:rsidRDefault="00000000">
            <w:pPr>
              <w:pStyle w:val="TableParagraph"/>
              <w:spacing w:before="56"/>
              <w:rPr>
                <w:b/>
                <w:sz w:val="20"/>
              </w:rPr>
            </w:pPr>
            <w:r>
              <w:rPr>
                <w:b/>
                <w:color w:val="E7E6E6"/>
                <w:spacing w:val="-4"/>
                <w:sz w:val="20"/>
              </w:rPr>
              <w:t>Name</w:t>
            </w:r>
          </w:p>
        </w:tc>
        <w:tc>
          <w:tcPr>
            <w:tcW w:w="3119" w:type="dxa"/>
            <w:tcBorders>
              <w:left w:val="single" w:sz="8" w:space="0" w:color="FFFFFF"/>
              <w:right w:val="single" w:sz="8" w:space="0" w:color="FFFFFF"/>
            </w:tcBorders>
            <w:shd w:val="clear" w:color="auto" w:fill="4471C4"/>
          </w:tcPr>
          <w:p w14:paraId="50051B60" w14:textId="77777777" w:rsidR="00483D15" w:rsidRDefault="00000000">
            <w:pPr>
              <w:pStyle w:val="TableParagraph"/>
              <w:spacing w:before="56"/>
              <w:ind w:left="75"/>
              <w:rPr>
                <w:b/>
                <w:sz w:val="20"/>
              </w:rPr>
            </w:pPr>
            <w:r>
              <w:rPr>
                <w:b/>
                <w:color w:val="E7E6E6"/>
                <w:spacing w:val="-5"/>
                <w:sz w:val="20"/>
              </w:rPr>
              <w:t>LGA</w:t>
            </w:r>
          </w:p>
        </w:tc>
        <w:tc>
          <w:tcPr>
            <w:tcW w:w="1276" w:type="dxa"/>
            <w:tcBorders>
              <w:left w:val="single" w:sz="8" w:space="0" w:color="FFFFFF"/>
              <w:right w:val="single" w:sz="8" w:space="0" w:color="FFFFFF"/>
            </w:tcBorders>
            <w:shd w:val="clear" w:color="auto" w:fill="4471C4"/>
          </w:tcPr>
          <w:p w14:paraId="6EF81215" w14:textId="77777777" w:rsidR="00483D15" w:rsidRDefault="00000000">
            <w:pPr>
              <w:pStyle w:val="TableParagraph"/>
              <w:spacing w:before="56"/>
              <w:ind w:left="73"/>
              <w:rPr>
                <w:b/>
                <w:sz w:val="20"/>
              </w:rPr>
            </w:pPr>
            <w:r>
              <w:rPr>
                <w:b/>
                <w:color w:val="E7E6E6"/>
                <w:sz w:val="20"/>
              </w:rPr>
              <w:t>Cap</w:t>
            </w:r>
            <w:r>
              <w:rPr>
                <w:b/>
                <w:color w:val="E7E6E6"/>
                <w:spacing w:val="-2"/>
                <w:sz w:val="20"/>
              </w:rPr>
              <w:t xml:space="preserve"> </w:t>
            </w:r>
            <w:r>
              <w:rPr>
                <w:b/>
                <w:color w:val="E7E6E6"/>
                <w:sz w:val="20"/>
              </w:rPr>
              <w:t>Inv</w:t>
            </w:r>
            <w:r>
              <w:rPr>
                <w:b/>
                <w:color w:val="E7E6E6"/>
                <w:spacing w:val="-2"/>
                <w:sz w:val="20"/>
              </w:rPr>
              <w:t xml:space="preserve"> </w:t>
            </w:r>
            <w:r>
              <w:rPr>
                <w:b/>
                <w:color w:val="E7E6E6"/>
                <w:spacing w:val="-5"/>
                <w:sz w:val="20"/>
              </w:rPr>
              <w:t>$m</w:t>
            </w:r>
          </w:p>
        </w:tc>
        <w:tc>
          <w:tcPr>
            <w:tcW w:w="1480" w:type="dxa"/>
            <w:tcBorders>
              <w:left w:val="single" w:sz="8" w:space="0" w:color="FFFFFF"/>
            </w:tcBorders>
            <w:shd w:val="clear" w:color="auto" w:fill="4471C4"/>
          </w:tcPr>
          <w:p w14:paraId="3DDA9229" w14:textId="77777777" w:rsidR="00483D15" w:rsidRDefault="00000000">
            <w:pPr>
              <w:pStyle w:val="TableParagraph"/>
              <w:spacing w:before="56"/>
              <w:ind w:left="74" w:right="150"/>
              <w:rPr>
                <w:b/>
                <w:sz w:val="20"/>
              </w:rPr>
            </w:pPr>
            <w:r>
              <w:rPr>
                <w:b/>
                <w:color w:val="E7E6E6"/>
                <w:spacing w:val="-4"/>
                <w:sz w:val="20"/>
              </w:rPr>
              <w:t xml:space="preserve">Jobs </w:t>
            </w:r>
            <w:r>
              <w:rPr>
                <w:b/>
                <w:color w:val="E7E6E6"/>
                <w:spacing w:val="-2"/>
                <w:sz w:val="20"/>
              </w:rPr>
              <w:t>(Construction</w:t>
            </w:r>
            <w:r>
              <w:rPr>
                <w:b/>
                <w:color w:val="E7E6E6"/>
                <w:sz w:val="20"/>
              </w:rPr>
              <w:t xml:space="preserve"> &amp;</w:t>
            </w:r>
            <w:r>
              <w:rPr>
                <w:b/>
                <w:color w:val="E7E6E6"/>
                <w:spacing w:val="-12"/>
                <w:sz w:val="20"/>
              </w:rPr>
              <w:t xml:space="preserve"> </w:t>
            </w:r>
            <w:r>
              <w:rPr>
                <w:b/>
                <w:color w:val="E7E6E6"/>
                <w:sz w:val="20"/>
              </w:rPr>
              <w:t>Operational)</w:t>
            </w:r>
          </w:p>
        </w:tc>
      </w:tr>
      <w:tr w:rsidR="00483D15" w14:paraId="4F78977C" w14:textId="77777777">
        <w:trPr>
          <w:trHeight w:val="359"/>
        </w:trPr>
        <w:tc>
          <w:tcPr>
            <w:tcW w:w="388" w:type="dxa"/>
            <w:tcBorders>
              <w:bottom w:val="single" w:sz="8" w:space="0" w:color="4471C4"/>
            </w:tcBorders>
          </w:tcPr>
          <w:p w14:paraId="1E5AEF48" w14:textId="77777777" w:rsidR="00483D15" w:rsidRDefault="00000000">
            <w:pPr>
              <w:pStyle w:val="TableParagraph"/>
              <w:spacing w:before="58"/>
              <w:ind w:left="15" w:right="100"/>
              <w:jc w:val="center"/>
              <w:rPr>
                <w:sz w:val="20"/>
              </w:rPr>
            </w:pPr>
            <w:r>
              <w:rPr>
                <w:spacing w:val="-10"/>
                <w:sz w:val="20"/>
              </w:rPr>
              <w:t>1</w:t>
            </w:r>
          </w:p>
        </w:tc>
        <w:tc>
          <w:tcPr>
            <w:tcW w:w="2745" w:type="dxa"/>
            <w:tcBorders>
              <w:bottom w:val="single" w:sz="8" w:space="0" w:color="4471C4"/>
            </w:tcBorders>
          </w:tcPr>
          <w:p w14:paraId="219A6C5C" w14:textId="77777777" w:rsidR="00483D15" w:rsidRDefault="00000000">
            <w:pPr>
              <w:pStyle w:val="TableParagraph"/>
              <w:spacing w:before="58"/>
              <w:rPr>
                <w:sz w:val="20"/>
              </w:rPr>
            </w:pPr>
            <w:r>
              <w:rPr>
                <w:sz w:val="20"/>
              </w:rPr>
              <w:t>Drayton</w:t>
            </w:r>
            <w:r>
              <w:rPr>
                <w:spacing w:val="-4"/>
                <w:sz w:val="20"/>
              </w:rPr>
              <w:t xml:space="preserve"> </w:t>
            </w:r>
            <w:r>
              <w:rPr>
                <w:sz w:val="20"/>
              </w:rPr>
              <w:t>South</w:t>
            </w:r>
            <w:r>
              <w:rPr>
                <w:spacing w:val="-4"/>
                <w:sz w:val="20"/>
              </w:rPr>
              <w:t xml:space="preserve"> </w:t>
            </w:r>
            <w:r>
              <w:rPr>
                <w:sz w:val="20"/>
              </w:rPr>
              <w:t>Coal</w:t>
            </w:r>
            <w:r>
              <w:rPr>
                <w:spacing w:val="-2"/>
                <w:sz w:val="20"/>
              </w:rPr>
              <w:t xml:space="preserve"> </w:t>
            </w:r>
            <w:r>
              <w:rPr>
                <w:spacing w:val="-4"/>
                <w:sz w:val="20"/>
              </w:rPr>
              <w:t>Mine</w:t>
            </w:r>
          </w:p>
        </w:tc>
        <w:tc>
          <w:tcPr>
            <w:tcW w:w="3119" w:type="dxa"/>
            <w:tcBorders>
              <w:bottom w:val="single" w:sz="8" w:space="0" w:color="4471C4"/>
            </w:tcBorders>
          </w:tcPr>
          <w:p w14:paraId="3C3BB8AC" w14:textId="77777777" w:rsidR="00483D15" w:rsidRDefault="00000000">
            <w:pPr>
              <w:pStyle w:val="TableParagraph"/>
              <w:spacing w:before="58"/>
              <w:ind w:left="85"/>
              <w:rPr>
                <w:sz w:val="20"/>
              </w:rPr>
            </w:pPr>
            <w:proofErr w:type="spellStart"/>
            <w:r>
              <w:rPr>
                <w:spacing w:val="-2"/>
                <w:sz w:val="20"/>
              </w:rPr>
              <w:t>Muswellbrook</w:t>
            </w:r>
            <w:proofErr w:type="spellEnd"/>
          </w:p>
        </w:tc>
        <w:tc>
          <w:tcPr>
            <w:tcW w:w="1276" w:type="dxa"/>
            <w:tcBorders>
              <w:bottom w:val="single" w:sz="8" w:space="0" w:color="4471C4"/>
            </w:tcBorders>
          </w:tcPr>
          <w:p w14:paraId="5A28819D" w14:textId="77777777" w:rsidR="00483D15" w:rsidRDefault="00000000">
            <w:pPr>
              <w:pStyle w:val="TableParagraph"/>
              <w:spacing w:before="58"/>
              <w:ind w:left="83"/>
              <w:rPr>
                <w:sz w:val="20"/>
              </w:rPr>
            </w:pPr>
            <w:r>
              <w:rPr>
                <w:spacing w:val="-2"/>
                <w:sz w:val="20"/>
              </w:rPr>
              <w:t>139.89</w:t>
            </w:r>
          </w:p>
        </w:tc>
        <w:tc>
          <w:tcPr>
            <w:tcW w:w="1480" w:type="dxa"/>
            <w:tcBorders>
              <w:bottom w:val="single" w:sz="8" w:space="0" w:color="4471C4"/>
            </w:tcBorders>
          </w:tcPr>
          <w:p w14:paraId="5F0149C9" w14:textId="77777777" w:rsidR="00483D15" w:rsidRDefault="00000000">
            <w:pPr>
              <w:pStyle w:val="TableParagraph"/>
              <w:spacing w:before="58"/>
              <w:rPr>
                <w:sz w:val="20"/>
              </w:rPr>
            </w:pPr>
            <w:r>
              <w:rPr>
                <w:spacing w:val="-5"/>
                <w:sz w:val="20"/>
              </w:rPr>
              <w:t>40</w:t>
            </w:r>
          </w:p>
        </w:tc>
      </w:tr>
      <w:tr w:rsidR="00483D15" w14:paraId="75E1A76C" w14:textId="77777777">
        <w:trPr>
          <w:trHeight w:val="358"/>
        </w:trPr>
        <w:tc>
          <w:tcPr>
            <w:tcW w:w="388" w:type="dxa"/>
            <w:tcBorders>
              <w:top w:val="single" w:sz="8" w:space="0" w:color="4471C4"/>
              <w:bottom w:val="single" w:sz="8" w:space="0" w:color="4471C4"/>
            </w:tcBorders>
          </w:tcPr>
          <w:p w14:paraId="6058465D" w14:textId="77777777" w:rsidR="00483D15" w:rsidRDefault="00000000">
            <w:pPr>
              <w:pStyle w:val="TableParagraph"/>
              <w:spacing w:before="56"/>
              <w:ind w:left="15" w:right="100"/>
              <w:jc w:val="center"/>
              <w:rPr>
                <w:sz w:val="20"/>
              </w:rPr>
            </w:pPr>
            <w:r>
              <w:rPr>
                <w:spacing w:val="-10"/>
                <w:sz w:val="20"/>
              </w:rPr>
              <w:t>2</w:t>
            </w:r>
          </w:p>
        </w:tc>
        <w:tc>
          <w:tcPr>
            <w:tcW w:w="2745" w:type="dxa"/>
            <w:tcBorders>
              <w:top w:val="single" w:sz="8" w:space="0" w:color="4471C4"/>
              <w:bottom w:val="single" w:sz="8" w:space="0" w:color="4471C4"/>
            </w:tcBorders>
          </w:tcPr>
          <w:p w14:paraId="35904137" w14:textId="77777777" w:rsidR="00483D15" w:rsidRDefault="00000000">
            <w:pPr>
              <w:pStyle w:val="TableParagraph"/>
              <w:spacing w:before="56"/>
              <w:rPr>
                <w:sz w:val="20"/>
              </w:rPr>
            </w:pPr>
            <w:r>
              <w:rPr>
                <w:sz w:val="20"/>
              </w:rPr>
              <w:t>Cowal</w:t>
            </w:r>
            <w:r>
              <w:rPr>
                <w:spacing w:val="-4"/>
                <w:sz w:val="20"/>
              </w:rPr>
              <w:t xml:space="preserve"> </w:t>
            </w:r>
            <w:r>
              <w:rPr>
                <w:sz w:val="20"/>
              </w:rPr>
              <w:t>Gold</w:t>
            </w:r>
            <w:r>
              <w:rPr>
                <w:spacing w:val="-4"/>
                <w:sz w:val="20"/>
              </w:rPr>
              <w:t xml:space="preserve"> </w:t>
            </w:r>
            <w:r>
              <w:rPr>
                <w:sz w:val="20"/>
              </w:rPr>
              <w:t>Operations</w:t>
            </w:r>
            <w:r>
              <w:rPr>
                <w:spacing w:val="-4"/>
                <w:sz w:val="20"/>
              </w:rPr>
              <w:t xml:space="preserve"> </w:t>
            </w:r>
            <w:r>
              <w:rPr>
                <w:sz w:val="20"/>
              </w:rPr>
              <w:t>Mod</w:t>
            </w:r>
            <w:r>
              <w:rPr>
                <w:spacing w:val="-4"/>
                <w:sz w:val="20"/>
              </w:rPr>
              <w:t xml:space="preserve"> </w:t>
            </w:r>
            <w:r>
              <w:rPr>
                <w:spacing w:val="-5"/>
                <w:sz w:val="20"/>
              </w:rPr>
              <w:t>14</w:t>
            </w:r>
          </w:p>
        </w:tc>
        <w:tc>
          <w:tcPr>
            <w:tcW w:w="3119" w:type="dxa"/>
            <w:tcBorders>
              <w:top w:val="single" w:sz="8" w:space="0" w:color="4471C4"/>
              <w:bottom w:val="single" w:sz="8" w:space="0" w:color="4471C4"/>
            </w:tcBorders>
          </w:tcPr>
          <w:p w14:paraId="7A22B63D" w14:textId="77777777" w:rsidR="00483D15" w:rsidRDefault="00000000">
            <w:pPr>
              <w:pStyle w:val="TableParagraph"/>
              <w:spacing w:before="56"/>
              <w:ind w:left="85"/>
              <w:rPr>
                <w:sz w:val="20"/>
              </w:rPr>
            </w:pPr>
            <w:r>
              <w:rPr>
                <w:spacing w:val="-2"/>
                <w:sz w:val="20"/>
              </w:rPr>
              <w:t>Bland</w:t>
            </w:r>
          </w:p>
        </w:tc>
        <w:tc>
          <w:tcPr>
            <w:tcW w:w="1276" w:type="dxa"/>
            <w:tcBorders>
              <w:top w:val="single" w:sz="8" w:space="0" w:color="4471C4"/>
              <w:bottom w:val="single" w:sz="8" w:space="0" w:color="4471C4"/>
            </w:tcBorders>
          </w:tcPr>
          <w:p w14:paraId="20B64B82" w14:textId="77777777" w:rsidR="00483D15" w:rsidRDefault="00483D15">
            <w:pPr>
              <w:pStyle w:val="TableParagraph"/>
              <w:ind w:left="0"/>
              <w:rPr>
                <w:rFonts w:ascii="Times New Roman"/>
                <w:sz w:val="20"/>
              </w:rPr>
            </w:pPr>
          </w:p>
        </w:tc>
        <w:tc>
          <w:tcPr>
            <w:tcW w:w="1480" w:type="dxa"/>
            <w:tcBorders>
              <w:top w:val="single" w:sz="8" w:space="0" w:color="4471C4"/>
              <w:bottom w:val="single" w:sz="8" w:space="0" w:color="4471C4"/>
            </w:tcBorders>
          </w:tcPr>
          <w:p w14:paraId="0C7B6BC2" w14:textId="77777777" w:rsidR="00483D15" w:rsidRDefault="00000000">
            <w:pPr>
              <w:pStyle w:val="TableParagraph"/>
              <w:spacing w:before="56"/>
              <w:rPr>
                <w:sz w:val="20"/>
              </w:rPr>
            </w:pPr>
            <w:r>
              <w:rPr>
                <w:spacing w:val="-5"/>
                <w:sz w:val="20"/>
              </w:rPr>
              <w:t>80</w:t>
            </w:r>
          </w:p>
        </w:tc>
      </w:tr>
      <w:tr w:rsidR="00483D15" w14:paraId="0F4050BF" w14:textId="77777777">
        <w:trPr>
          <w:trHeight w:val="357"/>
        </w:trPr>
        <w:tc>
          <w:tcPr>
            <w:tcW w:w="388" w:type="dxa"/>
            <w:tcBorders>
              <w:top w:val="single" w:sz="8" w:space="0" w:color="4471C4"/>
              <w:bottom w:val="single" w:sz="8" w:space="0" w:color="4471C4"/>
            </w:tcBorders>
          </w:tcPr>
          <w:p w14:paraId="6CE0D20B" w14:textId="77777777" w:rsidR="00483D15" w:rsidRDefault="00000000">
            <w:pPr>
              <w:pStyle w:val="TableParagraph"/>
              <w:spacing w:before="56"/>
              <w:ind w:left="15" w:right="100"/>
              <w:jc w:val="center"/>
              <w:rPr>
                <w:sz w:val="20"/>
              </w:rPr>
            </w:pPr>
            <w:r>
              <w:rPr>
                <w:spacing w:val="-10"/>
                <w:sz w:val="20"/>
              </w:rPr>
              <w:t>3</w:t>
            </w:r>
          </w:p>
        </w:tc>
        <w:tc>
          <w:tcPr>
            <w:tcW w:w="2745" w:type="dxa"/>
            <w:tcBorders>
              <w:top w:val="single" w:sz="8" w:space="0" w:color="4471C4"/>
              <w:bottom w:val="single" w:sz="8" w:space="0" w:color="4471C4"/>
            </w:tcBorders>
          </w:tcPr>
          <w:p w14:paraId="07E6DAEC" w14:textId="77777777" w:rsidR="00483D15" w:rsidRDefault="00000000">
            <w:pPr>
              <w:pStyle w:val="TableParagraph"/>
              <w:spacing w:before="56"/>
              <w:rPr>
                <w:sz w:val="20"/>
              </w:rPr>
            </w:pPr>
            <w:proofErr w:type="spellStart"/>
            <w:r>
              <w:rPr>
                <w:sz w:val="20"/>
              </w:rPr>
              <w:t>Gunlake</w:t>
            </w:r>
            <w:proofErr w:type="spellEnd"/>
            <w:r>
              <w:rPr>
                <w:spacing w:val="-4"/>
                <w:sz w:val="20"/>
              </w:rPr>
              <w:t xml:space="preserve"> </w:t>
            </w:r>
            <w:r>
              <w:rPr>
                <w:sz w:val="20"/>
              </w:rPr>
              <w:t>Quarry</w:t>
            </w:r>
            <w:r>
              <w:rPr>
                <w:spacing w:val="-4"/>
                <w:sz w:val="20"/>
              </w:rPr>
              <w:t xml:space="preserve"> </w:t>
            </w:r>
            <w:r>
              <w:rPr>
                <w:spacing w:val="-2"/>
                <w:sz w:val="20"/>
              </w:rPr>
              <w:t>Extension</w:t>
            </w:r>
          </w:p>
        </w:tc>
        <w:tc>
          <w:tcPr>
            <w:tcW w:w="3119" w:type="dxa"/>
            <w:tcBorders>
              <w:top w:val="single" w:sz="8" w:space="0" w:color="4471C4"/>
              <w:bottom w:val="single" w:sz="8" w:space="0" w:color="4471C4"/>
            </w:tcBorders>
          </w:tcPr>
          <w:p w14:paraId="3E694B01" w14:textId="77777777" w:rsidR="00483D15" w:rsidRDefault="00000000">
            <w:pPr>
              <w:pStyle w:val="TableParagraph"/>
              <w:spacing w:before="56"/>
              <w:ind w:left="85"/>
              <w:rPr>
                <w:sz w:val="20"/>
              </w:rPr>
            </w:pPr>
            <w:r>
              <w:rPr>
                <w:sz w:val="20"/>
              </w:rPr>
              <w:t>Goulburn</w:t>
            </w:r>
            <w:r>
              <w:rPr>
                <w:spacing w:val="-5"/>
                <w:sz w:val="20"/>
              </w:rPr>
              <w:t xml:space="preserve"> </w:t>
            </w:r>
            <w:proofErr w:type="spellStart"/>
            <w:r>
              <w:rPr>
                <w:spacing w:val="-2"/>
                <w:sz w:val="20"/>
              </w:rPr>
              <w:t>Mulwaree</w:t>
            </w:r>
            <w:proofErr w:type="spellEnd"/>
          </w:p>
        </w:tc>
        <w:tc>
          <w:tcPr>
            <w:tcW w:w="1276" w:type="dxa"/>
            <w:tcBorders>
              <w:top w:val="single" w:sz="8" w:space="0" w:color="4471C4"/>
              <w:bottom w:val="single" w:sz="8" w:space="0" w:color="4471C4"/>
            </w:tcBorders>
          </w:tcPr>
          <w:p w14:paraId="686F32D6" w14:textId="77777777" w:rsidR="00483D15" w:rsidRDefault="00000000">
            <w:pPr>
              <w:pStyle w:val="TableParagraph"/>
              <w:spacing w:before="56"/>
              <w:ind w:left="83"/>
              <w:rPr>
                <w:sz w:val="20"/>
              </w:rPr>
            </w:pPr>
            <w:r>
              <w:rPr>
                <w:spacing w:val="-5"/>
                <w:sz w:val="20"/>
              </w:rPr>
              <w:t>3.2</w:t>
            </w:r>
          </w:p>
        </w:tc>
        <w:tc>
          <w:tcPr>
            <w:tcW w:w="1480" w:type="dxa"/>
            <w:tcBorders>
              <w:top w:val="single" w:sz="8" w:space="0" w:color="4471C4"/>
              <w:bottom w:val="single" w:sz="8" w:space="0" w:color="4471C4"/>
            </w:tcBorders>
          </w:tcPr>
          <w:p w14:paraId="0CFE34E8" w14:textId="77777777" w:rsidR="00483D15" w:rsidRDefault="00000000">
            <w:pPr>
              <w:pStyle w:val="TableParagraph"/>
              <w:spacing w:before="56"/>
              <w:rPr>
                <w:sz w:val="20"/>
              </w:rPr>
            </w:pPr>
            <w:r>
              <w:rPr>
                <w:spacing w:val="-5"/>
                <w:sz w:val="20"/>
              </w:rPr>
              <w:t>27</w:t>
            </w:r>
          </w:p>
        </w:tc>
      </w:tr>
      <w:tr w:rsidR="00483D15" w14:paraId="0A89477D" w14:textId="77777777">
        <w:trPr>
          <w:trHeight w:val="357"/>
        </w:trPr>
        <w:tc>
          <w:tcPr>
            <w:tcW w:w="388" w:type="dxa"/>
            <w:tcBorders>
              <w:top w:val="single" w:sz="8" w:space="0" w:color="4471C4"/>
              <w:bottom w:val="single" w:sz="8" w:space="0" w:color="4471C4"/>
            </w:tcBorders>
          </w:tcPr>
          <w:p w14:paraId="31666629" w14:textId="77777777" w:rsidR="00483D15" w:rsidRDefault="00000000">
            <w:pPr>
              <w:pStyle w:val="TableParagraph"/>
              <w:spacing w:before="56"/>
              <w:ind w:left="15" w:right="100"/>
              <w:jc w:val="center"/>
              <w:rPr>
                <w:sz w:val="20"/>
              </w:rPr>
            </w:pPr>
            <w:r>
              <w:rPr>
                <w:spacing w:val="-10"/>
                <w:sz w:val="20"/>
              </w:rPr>
              <w:t>4</w:t>
            </w:r>
          </w:p>
        </w:tc>
        <w:tc>
          <w:tcPr>
            <w:tcW w:w="2745" w:type="dxa"/>
            <w:tcBorders>
              <w:top w:val="single" w:sz="8" w:space="0" w:color="4471C4"/>
              <w:bottom w:val="single" w:sz="8" w:space="0" w:color="4471C4"/>
            </w:tcBorders>
          </w:tcPr>
          <w:p w14:paraId="406A0444" w14:textId="77777777" w:rsidR="00483D15" w:rsidRDefault="00000000">
            <w:pPr>
              <w:pStyle w:val="TableParagraph"/>
              <w:spacing w:before="56"/>
              <w:rPr>
                <w:sz w:val="20"/>
              </w:rPr>
            </w:pPr>
            <w:proofErr w:type="spellStart"/>
            <w:r>
              <w:rPr>
                <w:sz w:val="20"/>
              </w:rPr>
              <w:t>Haerses</w:t>
            </w:r>
            <w:proofErr w:type="spellEnd"/>
            <w:r>
              <w:rPr>
                <w:spacing w:val="-4"/>
                <w:sz w:val="20"/>
              </w:rPr>
              <w:t xml:space="preserve"> </w:t>
            </w:r>
            <w:r>
              <w:rPr>
                <w:sz w:val="20"/>
              </w:rPr>
              <w:t>Road</w:t>
            </w:r>
            <w:r>
              <w:rPr>
                <w:spacing w:val="-4"/>
                <w:sz w:val="20"/>
              </w:rPr>
              <w:t xml:space="preserve"> </w:t>
            </w:r>
            <w:r>
              <w:rPr>
                <w:sz w:val="20"/>
              </w:rPr>
              <w:t>Quarry</w:t>
            </w:r>
            <w:r>
              <w:rPr>
                <w:spacing w:val="-4"/>
                <w:sz w:val="20"/>
              </w:rPr>
              <w:t xml:space="preserve"> </w:t>
            </w:r>
            <w:r>
              <w:rPr>
                <w:sz w:val="20"/>
              </w:rPr>
              <w:t>Mod</w:t>
            </w:r>
            <w:r>
              <w:rPr>
                <w:spacing w:val="-3"/>
                <w:sz w:val="20"/>
              </w:rPr>
              <w:t xml:space="preserve"> </w:t>
            </w:r>
            <w:r>
              <w:rPr>
                <w:spacing w:val="-10"/>
                <w:sz w:val="20"/>
              </w:rPr>
              <w:t>1</w:t>
            </w:r>
          </w:p>
        </w:tc>
        <w:tc>
          <w:tcPr>
            <w:tcW w:w="3119" w:type="dxa"/>
            <w:tcBorders>
              <w:top w:val="single" w:sz="8" w:space="0" w:color="4471C4"/>
              <w:bottom w:val="single" w:sz="8" w:space="0" w:color="4471C4"/>
            </w:tcBorders>
          </w:tcPr>
          <w:p w14:paraId="3E328895" w14:textId="77777777" w:rsidR="00483D15" w:rsidRDefault="00000000">
            <w:pPr>
              <w:pStyle w:val="TableParagraph"/>
              <w:spacing w:before="56"/>
              <w:ind w:left="85"/>
              <w:rPr>
                <w:sz w:val="20"/>
              </w:rPr>
            </w:pPr>
            <w:r>
              <w:rPr>
                <w:sz w:val="20"/>
              </w:rPr>
              <w:t>The</w:t>
            </w:r>
            <w:r>
              <w:rPr>
                <w:spacing w:val="-1"/>
                <w:sz w:val="20"/>
              </w:rPr>
              <w:t xml:space="preserve"> </w:t>
            </w:r>
            <w:r>
              <w:rPr>
                <w:spacing w:val="-2"/>
                <w:sz w:val="20"/>
              </w:rPr>
              <w:t>Hills</w:t>
            </w:r>
          </w:p>
        </w:tc>
        <w:tc>
          <w:tcPr>
            <w:tcW w:w="1276" w:type="dxa"/>
            <w:tcBorders>
              <w:top w:val="single" w:sz="8" w:space="0" w:color="4471C4"/>
              <w:bottom w:val="single" w:sz="8" w:space="0" w:color="4471C4"/>
            </w:tcBorders>
          </w:tcPr>
          <w:p w14:paraId="33AE9AD7" w14:textId="77777777" w:rsidR="00483D15" w:rsidRDefault="00483D15">
            <w:pPr>
              <w:pStyle w:val="TableParagraph"/>
              <w:ind w:left="0"/>
              <w:rPr>
                <w:rFonts w:ascii="Times New Roman"/>
                <w:sz w:val="20"/>
              </w:rPr>
            </w:pPr>
          </w:p>
        </w:tc>
        <w:tc>
          <w:tcPr>
            <w:tcW w:w="1480" w:type="dxa"/>
            <w:tcBorders>
              <w:top w:val="single" w:sz="8" w:space="0" w:color="4471C4"/>
              <w:bottom w:val="single" w:sz="8" w:space="0" w:color="4471C4"/>
            </w:tcBorders>
          </w:tcPr>
          <w:p w14:paraId="4C76F45C" w14:textId="77777777" w:rsidR="00483D15" w:rsidRDefault="00000000">
            <w:pPr>
              <w:pStyle w:val="TableParagraph"/>
              <w:spacing w:before="56"/>
              <w:rPr>
                <w:sz w:val="20"/>
              </w:rPr>
            </w:pPr>
            <w:r>
              <w:rPr>
                <w:spacing w:val="-10"/>
                <w:sz w:val="20"/>
              </w:rPr>
              <w:t>4</w:t>
            </w:r>
          </w:p>
        </w:tc>
      </w:tr>
      <w:tr w:rsidR="00483D15" w14:paraId="182EAE41" w14:textId="77777777">
        <w:trPr>
          <w:trHeight w:val="601"/>
        </w:trPr>
        <w:tc>
          <w:tcPr>
            <w:tcW w:w="388" w:type="dxa"/>
            <w:tcBorders>
              <w:top w:val="single" w:sz="8" w:space="0" w:color="4471C4"/>
              <w:bottom w:val="single" w:sz="8" w:space="0" w:color="4471C4"/>
            </w:tcBorders>
          </w:tcPr>
          <w:p w14:paraId="4F8846A0" w14:textId="77777777" w:rsidR="00483D15" w:rsidRDefault="00000000">
            <w:pPr>
              <w:pStyle w:val="TableParagraph"/>
              <w:spacing w:before="56"/>
              <w:ind w:left="15" w:right="100"/>
              <w:jc w:val="center"/>
              <w:rPr>
                <w:sz w:val="20"/>
              </w:rPr>
            </w:pPr>
            <w:r>
              <w:rPr>
                <w:spacing w:val="-10"/>
                <w:sz w:val="20"/>
              </w:rPr>
              <w:t>5</w:t>
            </w:r>
          </w:p>
        </w:tc>
        <w:tc>
          <w:tcPr>
            <w:tcW w:w="2745" w:type="dxa"/>
            <w:tcBorders>
              <w:top w:val="single" w:sz="8" w:space="0" w:color="4471C4"/>
              <w:bottom w:val="single" w:sz="8" w:space="0" w:color="4471C4"/>
            </w:tcBorders>
          </w:tcPr>
          <w:p w14:paraId="3A0A3527" w14:textId="77777777" w:rsidR="00483D15" w:rsidRDefault="00000000">
            <w:pPr>
              <w:pStyle w:val="TableParagraph"/>
              <w:spacing w:before="56"/>
              <w:rPr>
                <w:sz w:val="20"/>
              </w:rPr>
            </w:pPr>
            <w:r>
              <w:rPr>
                <w:sz w:val="20"/>
              </w:rPr>
              <w:t>Liverpool</w:t>
            </w:r>
            <w:r>
              <w:rPr>
                <w:spacing w:val="-5"/>
                <w:sz w:val="20"/>
              </w:rPr>
              <w:t xml:space="preserve"> </w:t>
            </w:r>
            <w:r>
              <w:rPr>
                <w:sz w:val="20"/>
              </w:rPr>
              <w:t>Range</w:t>
            </w:r>
            <w:r>
              <w:rPr>
                <w:spacing w:val="-4"/>
                <w:sz w:val="20"/>
              </w:rPr>
              <w:t xml:space="preserve"> </w:t>
            </w:r>
            <w:r>
              <w:rPr>
                <w:spacing w:val="-2"/>
                <w:sz w:val="20"/>
              </w:rPr>
              <w:t>Windfarm</w:t>
            </w:r>
          </w:p>
        </w:tc>
        <w:tc>
          <w:tcPr>
            <w:tcW w:w="3119" w:type="dxa"/>
            <w:tcBorders>
              <w:top w:val="single" w:sz="8" w:space="0" w:color="4471C4"/>
              <w:bottom w:val="single" w:sz="8" w:space="0" w:color="4471C4"/>
            </w:tcBorders>
          </w:tcPr>
          <w:p w14:paraId="34A5E885" w14:textId="77777777" w:rsidR="00483D15" w:rsidRDefault="00000000">
            <w:pPr>
              <w:pStyle w:val="TableParagraph"/>
              <w:spacing w:before="56"/>
              <w:ind w:left="85"/>
              <w:rPr>
                <w:sz w:val="20"/>
              </w:rPr>
            </w:pPr>
            <w:r>
              <w:rPr>
                <w:sz w:val="20"/>
              </w:rPr>
              <w:t>Mid-Western,</w:t>
            </w:r>
            <w:r>
              <w:rPr>
                <w:spacing w:val="-12"/>
                <w:sz w:val="20"/>
              </w:rPr>
              <w:t xml:space="preserve"> </w:t>
            </w:r>
            <w:r>
              <w:rPr>
                <w:sz w:val="20"/>
              </w:rPr>
              <w:t>Upper</w:t>
            </w:r>
            <w:r>
              <w:rPr>
                <w:spacing w:val="-11"/>
                <w:sz w:val="20"/>
              </w:rPr>
              <w:t xml:space="preserve"> </w:t>
            </w:r>
            <w:r>
              <w:rPr>
                <w:sz w:val="20"/>
              </w:rPr>
              <w:t xml:space="preserve">Hunter, </w:t>
            </w:r>
            <w:proofErr w:type="spellStart"/>
            <w:r>
              <w:rPr>
                <w:spacing w:val="-2"/>
                <w:sz w:val="20"/>
              </w:rPr>
              <w:t>Warrumbungle</w:t>
            </w:r>
            <w:proofErr w:type="spellEnd"/>
          </w:p>
        </w:tc>
        <w:tc>
          <w:tcPr>
            <w:tcW w:w="1276" w:type="dxa"/>
            <w:tcBorders>
              <w:top w:val="single" w:sz="8" w:space="0" w:color="4471C4"/>
              <w:bottom w:val="single" w:sz="8" w:space="0" w:color="4471C4"/>
            </w:tcBorders>
          </w:tcPr>
          <w:p w14:paraId="5BD5F781" w14:textId="77777777" w:rsidR="00483D15" w:rsidRDefault="00000000">
            <w:pPr>
              <w:pStyle w:val="TableParagraph"/>
              <w:spacing w:before="56"/>
              <w:ind w:left="83"/>
              <w:rPr>
                <w:sz w:val="20"/>
              </w:rPr>
            </w:pPr>
            <w:r>
              <w:rPr>
                <w:spacing w:val="-2"/>
                <w:sz w:val="20"/>
              </w:rPr>
              <w:t>1,080.00</w:t>
            </w:r>
          </w:p>
        </w:tc>
        <w:tc>
          <w:tcPr>
            <w:tcW w:w="1480" w:type="dxa"/>
            <w:tcBorders>
              <w:top w:val="single" w:sz="8" w:space="0" w:color="4471C4"/>
              <w:bottom w:val="single" w:sz="8" w:space="0" w:color="4471C4"/>
            </w:tcBorders>
          </w:tcPr>
          <w:p w14:paraId="3A84EAC1" w14:textId="77777777" w:rsidR="00483D15" w:rsidRDefault="00000000">
            <w:pPr>
              <w:pStyle w:val="TableParagraph"/>
              <w:spacing w:before="56"/>
              <w:rPr>
                <w:sz w:val="20"/>
              </w:rPr>
            </w:pPr>
            <w:r>
              <w:rPr>
                <w:spacing w:val="-5"/>
                <w:sz w:val="20"/>
              </w:rPr>
              <w:t>220</w:t>
            </w:r>
          </w:p>
        </w:tc>
      </w:tr>
      <w:tr w:rsidR="00483D15" w14:paraId="73D15A18" w14:textId="77777777">
        <w:trPr>
          <w:trHeight w:val="359"/>
        </w:trPr>
        <w:tc>
          <w:tcPr>
            <w:tcW w:w="388" w:type="dxa"/>
            <w:tcBorders>
              <w:top w:val="single" w:sz="8" w:space="0" w:color="4471C4"/>
              <w:bottom w:val="single" w:sz="8" w:space="0" w:color="4471C4"/>
            </w:tcBorders>
          </w:tcPr>
          <w:p w14:paraId="51DFB9AC" w14:textId="77777777" w:rsidR="00483D15" w:rsidRDefault="00000000">
            <w:pPr>
              <w:pStyle w:val="TableParagraph"/>
              <w:spacing w:before="57"/>
              <w:ind w:left="15" w:right="100"/>
              <w:jc w:val="center"/>
              <w:rPr>
                <w:sz w:val="20"/>
              </w:rPr>
            </w:pPr>
            <w:r>
              <w:rPr>
                <w:spacing w:val="-10"/>
                <w:sz w:val="20"/>
              </w:rPr>
              <w:t>6</w:t>
            </w:r>
          </w:p>
        </w:tc>
        <w:tc>
          <w:tcPr>
            <w:tcW w:w="2745" w:type="dxa"/>
            <w:tcBorders>
              <w:top w:val="single" w:sz="8" w:space="0" w:color="4471C4"/>
              <w:bottom w:val="single" w:sz="8" w:space="0" w:color="4471C4"/>
            </w:tcBorders>
          </w:tcPr>
          <w:p w14:paraId="0EE2CEF5" w14:textId="77777777" w:rsidR="00483D15" w:rsidRDefault="00000000">
            <w:pPr>
              <w:pStyle w:val="TableParagraph"/>
              <w:spacing w:before="57"/>
              <w:rPr>
                <w:sz w:val="20"/>
              </w:rPr>
            </w:pPr>
            <w:r>
              <w:rPr>
                <w:sz w:val="20"/>
              </w:rPr>
              <w:t>Newcastle</w:t>
            </w:r>
            <w:r>
              <w:rPr>
                <w:spacing w:val="-4"/>
                <w:sz w:val="20"/>
              </w:rPr>
              <w:t xml:space="preserve"> </w:t>
            </w:r>
            <w:r>
              <w:rPr>
                <w:sz w:val="20"/>
              </w:rPr>
              <w:t>Inner</w:t>
            </w:r>
            <w:r>
              <w:rPr>
                <w:spacing w:val="-3"/>
                <w:sz w:val="20"/>
              </w:rPr>
              <w:t xml:space="preserve"> </w:t>
            </w:r>
            <w:r>
              <w:rPr>
                <w:sz w:val="20"/>
              </w:rPr>
              <w:t>City</w:t>
            </w:r>
            <w:r>
              <w:rPr>
                <w:spacing w:val="-4"/>
                <w:sz w:val="20"/>
              </w:rPr>
              <w:t xml:space="preserve"> </w:t>
            </w:r>
            <w:r>
              <w:rPr>
                <w:spacing w:val="-2"/>
                <w:sz w:val="20"/>
              </w:rPr>
              <w:t>Bypass</w:t>
            </w:r>
          </w:p>
        </w:tc>
        <w:tc>
          <w:tcPr>
            <w:tcW w:w="3119" w:type="dxa"/>
            <w:tcBorders>
              <w:top w:val="single" w:sz="8" w:space="0" w:color="4471C4"/>
              <w:bottom w:val="single" w:sz="8" w:space="0" w:color="4471C4"/>
            </w:tcBorders>
          </w:tcPr>
          <w:p w14:paraId="2E2A4DD1" w14:textId="77777777" w:rsidR="00483D15" w:rsidRDefault="00000000">
            <w:pPr>
              <w:pStyle w:val="TableParagraph"/>
              <w:spacing w:before="57"/>
              <w:ind w:left="85"/>
              <w:rPr>
                <w:sz w:val="20"/>
              </w:rPr>
            </w:pPr>
            <w:r>
              <w:rPr>
                <w:spacing w:val="-2"/>
                <w:sz w:val="20"/>
              </w:rPr>
              <w:t>Newcastle</w:t>
            </w:r>
          </w:p>
        </w:tc>
        <w:tc>
          <w:tcPr>
            <w:tcW w:w="1276" w:type="dxa"/>
            <w:tcBorders>
              <w:top w:val="single" w:sz="8" w:space="0" w:color="4471C4"/>
              <w:bottom w:val="single" w:sz="8" w:space="0" w:color="4471C4"/>
            </w:tcBorders>
          </w:tcPr>
          <w:p w14:paraId="27F82956" w14:textId="77777777" w:rsidR="00483D15" w:rsidRDefault="00000000">
            <w:pPr>
              <w:pStyle w:val="TableParagraph"/>
              <w:spacing w:before="57"/>
              <w:ind w:left="83"/>
              <w:rPr>
                <w:sz w:val="20"/>
              </w:rPr>
            </w:pPr>
            <w:r>
              <w:rPr>
                <w:spacing w:val="-2"/>
                <w:sz w:val="20"/>
              </w:rPr>
              <w:t>280.00</w:t>
            </w:r>
          </w:p>
        </w:tc>
        <w:tc>
          <w:tcPr>
            <w:tcW w:w="1480" w:type="dxa"/>
            <w:tcBorders>
              <w:top w:val="single" w:sz="8" w:space="0" w:color="4471C4"/>
              <w:bottom w:val="single" w:sz="8" w:space="0" w:color="4471C4"/>
            </w:tcBorders>
          </w:tcPr>
          <w:p w14:paraId="76569CFC" w14:textId="77777777" w:rsidR="00483D15" w:rsidRDefault="00000000">
            <w:pPr>
              <w:pStyle w:val="TableParagraph"/>
              <w:spacing w:before="57"/>
              <w:rPr>
                <w:sz w:val="20"/>
              </w:rPr>
            </w:pPr>
            <w:r>
              <w:rPr>
                <w:spacing w:val="-5"/>
                <w:sz w:val="20"/>
              </w:rPr>
              <w:t>800</w:t>
            </w:r>
          </w:p>
        </w:tc>
      </w:tr>
      <w:tr w:rsidR="00483D15" w14:paraId="59D64269" w14:textId="77777777">
        <w:trPr>
          <w:trHeight w:val="357"/>
        </w:trPr>
        <w:tc>
          <w:tcPr>
            <w:tcW w:w="388" w:type="dxa"/>
            <w:tcBorders>
              <w:top w:val="single" w:sz="8" w:space="0" w:color="4471C4"/>
              <w:bottom w:val="single" w:sz="8" w:space="0" w:color="4471C4"/>
            </w:tcBorders>
          </w:tcPr>
          <w:p w14:paraId="417A2FF2" w14:textId="77777777" w:rsidR="00483D15" w:rsidRDefault="00000000">
            <w:pPr>
              <w:pStyle w:val="TableParagraph"/>
              <w:spacing w:before="56"/>
              <w:ind w:left="15" w:right="100"/>
              <w:jc w:val="center"/>
              <w:rPr>
                <w:sz w:val="20"/>
              </w:rPr>
            </w:pPr>
            <w:r>
              <w:rPr>
                <w:spacing w:val="-10"/>
                <w:sz w:val="20"/>
              </w:rPr>
              <w:t>7</w:t>
            </w:r>
          </w:p>
        </w:tc>
        <w:tc>
          <w:tcPr>
            <w:tcW w:w="2745" w:type="dxa"/>
            <w:tcBorders>
              <w:top w:val="single" w:sz="8" w:space="0" w:color="4471C4"/>
              <w:bottom w:val="single" w:sz="8" w:space="0" w:color="4471C4"/>
            </w:tcBorders>
          </w:tcPr>
          <w:p w14:paraId="078E400B" w14:textId="77777777" w:rsidR="00483D15" w:rsidRDefault="00000000">
            <w:pPr>
              <w:pStyle w:val="TableParagraph"/>
              <w:spacing w:before="56"/>
              <w:rPr>
                <w:sz w:val="20"/>
              </w:rPr>
            </w:pPr>
            <w:r>
              <w:rPr>
                <w:sz w:val="20"/>
              </w:rPr>
              <w:t>Oakdale</w:t>
            </w:r>
            <w:r>
              <w:rPr>
                <w:spacing w:val="-6"/>
                <w:sz w:val="20"/>
              </w:rPr>
              <w:t xml:space="preserve"> </w:t>
            </w:r>
            <w:r>
              <w:rPr>
                <w:sz w:val="20"/>
              </w:rPr>
              <w:t>West</w:t>
            </w:r>
            <w:r>
              <w:rPr>
                <w:spacing w:val="-5"/>
                <w:sz w:val="20"/>
              </w:rPr>
              <w:t xml:space="preserve"> </w:t>
            </w:r>
            <w:r>
              <w:rPr>
                <w:sz w:val="20"/>
              </w:rPr>
              <w:t>Industrial</w:t>
            </w:r>
            <w:r>
              <w:rPr>
                <w:spacing w:val="-5"/>
                <w:sz w:val="20"/>
              </w:rPr>
              <w:t xml:space="preserve"> </w:t>
            </w:r>
            <w:r>
              <w:rPr>
                <w:spacing w:val="-2"/>
                <w:sz w:val="20"/>
              </w:rPr>
              <w:t>Estate</w:t>
            </w:r>
          </w:p>
        </w:tc>
        <w:tc>
          <w:tcPr>
            <w:tcW w:w="3119" w:type="dxa"/>
            <w:tcBorders>
              <w:top w:val="single" w:sz="8" w:space="0" w:color="4471C4"/>
              <w:bottom w:val="single" w:sz="8" w:space="0" w:color="4471C4"/>
            </w:tcBorders>
          </w:tcPr>
          <w:p w14:paraId="773B9366" w14:textId="77777777" w:rsidR="00483D15" w:rsidRDefault="00000000">
            <w:pPr>
              <w:pStyle w:val="TableParagraph"/>
              <w:spacing w:before="56"/>
              <w:ind w:left="85"/>
              <w:rPr>
                <w:sz w:val="20"/>
              </w:rPr>
            </w:pPr>
            <w:r>
              <w:rPr>
                <w:spacing w:val="-2"/>
                <w:sz w:val="20"/>
              </w:rPr>
              <w:t>Penrith</w:t>
            </w:r>
          </w:p>
        </w:tc>
        <w:tc>
          <w:tcPr>
            <w:tcW w:w="1276" w:type="dxa"/>
            <w:tcBorders>
              <w:top w:val="single" w:sz="8" w:space="0" w:color="4471C4"/>
              <w:bottom w:val="single" w:sz="8" w:space="0" w:color="4471C4"/>
            </w:tcBorders>
          </w:tcPr>
          <w:p w14:paraId="4392B31B" w14:textId="77777777" w:rsidR="00483D15" w:rsidRDefault="00000000">
            <w:pPr>
              <w:pStyle w:val="TableParagraph"/>
              <w:spacing w:before="56"/>
              <w:ind w:left="83"/>
              <w:rPr>
                <w:sz w:val="20"/>
              </w:rPr>
            </w:pPr>
            <w:r>
              <w:rPr>
                <w:spacing w:val="-2"/>
                <w:sz w:val="20"/>
              </w:rPr>
              <w:t>447.07</w:t>
            </w:r>
          </w:p>
        </w:tc>
        <w:tc>
          <w:tcPr>
            <w:tcW w:w="1480" w:type="dxa"/>
            <w:tcBorders>
              <w:top w:val="single" w:sz="8" w:space="0" w:color="4471C4"/>
              <w:bottom w:val="single" w:sz="8" w:space="0" w:color="4471C4"/>
            </w:tcBorders>
          </w:tcPr>
          <w:p w14:paraId="6DEDE0CE" w14:textId="77777777" w:rsidR="00483D15" w:rsidRDefault="00000000">
            <w:pPr>
              <w:pStyle w:val="TableParagraph"/>
              <w:spacing w:before="56"/>
              <w:rPr>
                <w:sz w:val="20"/>
              </w:rPr>
            </w:pPr>
            <w:r>
              <w:rPr>
                <w:spacing w:val="-4"/>
                <w:sz w:val="20"/>
              </w:rPr>
              <w:t>2910</w:t>
            </w:r>
          </w:p>
        </w:tc>
      </w:tr>
      <w:tr w:rsidR="00483D15" w14:paraId="5FCF172C" w14:textId="77777777">
        <w:trPr>
          <w:trHeight w:val="357"/>
        </w:trPr>
        <w:tc>
          <w:tcPr>
            <w:tcW w:w="388" w:type="dxa"/>
            <w:tcBorders>
              <w:top w:val="single" w:sz="8" w:space="0" w:color="4471C4"/>
              <w:bottom w:val="single" w:sz="8" w:space="0" w:color="4471C4"/>
            </w:tcBorders>
          </w:tcPr>
          <w:p w14:paraId="0BBE8E7D" w14:textId="77777777" w:rsidR="00483D15" w:rsidRDefault="00000000">
            <w:pPr>
              <w:pStyle w:val="TableParagraph"/>
              <w:spacing w:before="56"/>
              <w:ind w:left="15" w:right="100"/>
              <w:jc w:val="center"/>
              <w:rPr>
                <w:sz w:val="20"/>
              </w:rPr>
            </w:pPr>
            <w:r>
              <w:rPr>
                <w:spacing w:val="-10"/>
                <w:sz w:val="20"/>
              </w:rPr>
              <w:t>8</w:t>
            </w:r>
          </w:p>
        </w:tc>
        <w:tc>
          <w:tcPr>
            <w:tcW w:w="2745" w:type="dxa"/>
            <w:tcBorders>
              <w:top w:val="single" w:sz="8" w:space="0" w:color="4471C4"/>
              <w:bottom w:val="single" w:sz="8" w:space="0" w:color="4471C4"/>
            </w:tcBorders>
          </w:tcPr>
          <w:p w14:paraId="286D0ACF" w14:textId="77777777" w:rsidR="00483D15" w:rsidRDefault="00000000">
            <w:pPr>
              <w:pStyle w:val="TableParagraph"/>
              <w:spacing w:before="56"/>
              <w:rPr>
                <w:sz w:val="20"/>
              </w:rPr>
            </w:pPr>
            <w:r>
              <w:rPr>
                <w:sz w:val="20"/>
              </w:rPr>
              <w:t>Sapphire</w:t>
            </w:r>
            <w:r>
              <w:rPr>
                <w:spacing w:val="-3"/>
                <w:sz w:val="20"/>
              </w:rPr>
              <w:t xml:space="preserve"> </w:t>
            </w:r>
            <w:r>
              <w:rPr>
                <w:spacing w:val="-2"/>
                <w:sz w:val="20"/>
              </w:rPr>
              <w:t>Solar</w:t>
            </w:r>
          </w:p>
        </w:tc>
        <w:tc>
          <w:tcPr>
            <w:tcW w:w="3119" w:type="dxa"/>
            <w:tcBorders>
              <w:top w:val="single" w:sz="8" w:space="0" w:color="4471C4"/>
              <w:bottom w:val="single" w:sz="8" w:space="0" w:color="4471C4"/>
            </w:tcBorders>
          </w:tcPr>
          <w:p w14:paraId="7A445FEB" w14:textId="77777777" w:rsidR="00483D15" w:rsidRDefault="00000000">
            <w:pPr>
              <w:pStyle w:val="TableParagraph"/>
              <w:spacing w:before="56"/>
              <w:ind w:left="85"/>
              <w:rPr>
                <w:sz w:val="20"/>
              </w:rPr>
            </w:pPr>
            <w:r>
              <w:rPr>
                <w:spacing w:val="-2"/>
                <w:sz w:val="20"/>
              </w:rPr>
              <w:t>Inverell</w:t>
            </w:r>
          </w:p>
        </w:tc>
        <w:tc>
          <w:tcPr>
            <w:tcW w:w="1276" w:type="dxa"/>
            <w:tcBorders>
              <w:top w:val="single" w:sz="8" w:space="0" w:color="4471C4"/>
              <w:bottom w:val="single" w:sz="8" w:space="0" w:color="4471C4"/>
            </w:tcBorders>
          </w:tcPr>
          <w:p w14:paraId="2C20A778" w14:textId="77777777" w:rsidR="00483D15" w:rsidRDefault="00000000">
            <w:pPr>
              <w:pStyle w:val="TableParagraph"/>
              <w:spacing w:before="56"/>
              <w:ind w:left="83"/>
              <w:rPr>
                <w:sz w:val="20"/>
              </w:rPr>
            </w:pPr>
            <w:r>
              <w:rPr>
                <w:spacing w:val="-2"/>
                <w:sz w:val="20"/>
              </w:rPr>
              <w:t>280.00</w:t>
            </w:r>
          </w:p>
        </w:tc>
        <w:tc>
          <w:tcPr>
            <w:tcW w:w="1480" w:type="dxa"/>
            <w:tcBorders>
              <w:top w:val="single" w:sz="8" w:space="0" w:color="4471C4"/>
              <w:bottom w:val="single" w:sz="8" w:space="0" w:color="4471C4"/>
            </w:tcBorders>
          </w:tcPr>
          <w:p w14:paraId="7BC56C0D" w14:textId="77777777" w:rsidR="00483D15" w:rsidRDefault="00000000">
            <w:pPr>
              <w:pStyle w:val="TableParagraph"/>
              <w:spacing w:before="56"/>
              <w:rPr>
                <w:sz w:val="20"/>
              </w:rPr>
            </w:pPr>
            <w:r>
              <w:rPr>
                <w:spacing w:val="-5"/>
                <w:sz w:val="20"/>
              </w:rPr>
              <w:t>210</w:t>
            </w:r>
          </w:p>
        </w:tc>
      </w:tr>
      <w:tr w:rsidR="00483D15" w14:paraId="426AC23E" w14:textId="77777777">
        <w:trPr>
          <w:trHeight w:val="357"/>
        </w:trPr>
        <w:tc>
          <w:tcPr>
            <w:tcW w:w="388" w:type="dxa"/>
            <w:tcBorders>
              <w:top w:val="single" w:sz="8" w:space="0" w:color="4471C4"/>
              <w:bottom w:val="single" w:sz="8" w:space="0" w:color="4471C4"/>
            </w:tcBorders>
          </w:tcPr>
          <w:p w14:paraId="26B8D4EB" w14:textId="77777777" w:rsidR="00483D15" w:rsidRDefault="00000000">
            <w:pPr>
              <w:pStyle w:val="TableParagraph"/>
              <w:spacing w:before="56"/>
              <w:ind w:left="15" w:right="100"/>
              <w:jc w:val="center"/>
              <w:rPr>
                <w:sz w:val="20"/>
              </w:rPr>
            </w:pPr>
            <w:r>
              <w:rPr>
                <w:spacing w:val="-10"/>
                <w:sz w:val="20"/>
              </w:rPr>
              <w:t>9</w:t>
            </w:r>
          </w:p>
        </w:tc>
        <w:tc>
          <w:tcPr>
            <w:tcW w:w="2745" w:type="dxa"/>
            <w:tcBorders>
              <w:top w:val="single" w:sz="8" w:space="0" w:color="4471C4"/>
              <w:bottom w:val="single" w:sz="8" w:space="0" w:color="4471C4"/>
            </w:tcBorders>
          </w:tcPr>
          <w:p w14:paraId="1BCCFE5C" w14:textId="77777777" w:rsidR="00483D15" w:rsidRDefault="00000000">
            <w:pPr>
              <w:pStyle w:val="TableParagraph"/>
              <w:spacing w:before="56"/>
              <w:rPr>
                <w:sz w:val="20"/>
              </w:rPr>
            </w:pPr>
            <w:r>
              <w:rPr>
                <w:sz w:val="20"/>
              </w:rPr>
              <w:t>Sydney</w:t>
            </w:r>
            <w:r>
              <w:rPr>
                <w:spacing w:val="-6"/>
                <w:sz w:val="20"/>
              </w:rPr>
              <w:t xml:space="preserve"> </w:t>
            </w:r>
            <w:r>
              <w:rPr>
                <w:sz w:val="20"/>
              </w:rPr>
              <w:t>Opera</w:t>
            </w:r>
            <w:r>
              <w:rPr>
                <w:spacing w:val="-3"/>
                <w:sz w:val="20"/>
              </w:rPr>
              <w:t xml:space="preserve"> </w:t>
            </w:r>
            <w:r>
              <w:rPr>
                <w:spacing w:val="-4"/>
                <w:sz w:val="20"/>
              </w:rPr>
              <w:t>House</w:t>
            </w:r>
          </w:p>
        </w:tc>
        <w:tc>
          <w:tcPr>
            <w:tcW w:w="3119" w:type="dxa"/>
            <w:tcBorders>
              <w:top w:val="single" w:sz="8" w:space="0" w:color="4471C4"/>
              <w:bottom w:val="single" w:sz="8" w:space="0" w:color="4471C4"/>
            </w:tcBorders>
          </w:tcPr>
          <w:p w14:paraId="2246D1BC" w14:textId="77777777" w:rsidR="00483D15" w:rsidRDefault="00000000">
            <w:pPr>
              <w:pStyle w:val="TableParagraph"/>
              <w:spacing w:before="56"/>
              <w:ind w:left="85"/>
              <w:rPr>
                <w:sz w:val="20"/>
              </w:rPr>
            </w:pPr>
            <w:r>
              <w:rPr>
                <w:sz w:val="20"/>
              </w:rPr>
              <w:t>City</w:t>
            </w:r>
            <w:r>
              <w:rPr>
                <w:spacing w:val="-2"/>
                <w:sz w:val="20"/>
              </w:rPr>
              <w:t xml:space="preserve"> </w:t>
            </w:r>
            <w:r>
              <w:rPr>
                <w:sz w:val="20"/>
              </w:rPr>
              <w:t>of</w:t>
            </w:r>
            <w:r>
              <w:rPr>
                <w:spacing w:val="-2"/>
                <w:sz w:val="20"/>
              </w:rPr>
              <w:t xml:space="preserve"> Sydney</w:t>
            </w:r>
          </w:p>
        </w:tc>
        <w:tc>
          <w:tcPr>
            <w:tcW w:w="1276" w:type="dxa"/>
            <w:tcBorders>
              <w:top w:val="single" w:sz="8" w:space="0" w:color="4471C4"/>
              <w:bottom w:val="single" w:sz="8" w:space="0" w:color="4471C4"/>
            </w:tcBorders>
          </w:tcPr>
          <w:p w14:paraId="11E8E9A0" w14:textId="77777777" w:rsidR="00483D15" w:rsidRDefault="00000000">
            <w:pPr>
              <w:pStyle w:val="TableParagraph"/>
              <w:spacing w:before="56"/>
              <w:ind w:left="83"/>
              <w:rPr>
                <w:sz w:val="20"/>
              </w:rPr>
            </w:pPr>
            <w:r>
              <w:rPr>
                <w:spacing w:val="-2"/>
                <w:sz w:val="20"/>
              </w:rPr>
              <w:t>115.34</w:t>
            </w:r>
          </w:p>
        </w:tc>
        <w:tc>
          <w:tcPr>
            <w:tcW w:w="1480" w:type="dxa"/>
            <w:tcBorders>
              <w:top w:val="single" w:sz="8" w:space="0" w:color="4471C4"/>
              <w:bottom w:val="single" w:sz="8" w:space="0" w:color="4471C4"/>
            </w:tcBorders>
          </w:tcPr>
          <w:p w14:paraId="2F5747D0" w14:textId="77777777" w:rsidR="00483D15" w:rsidRDefault="00000000">
            <w:pPr>
              <w:pStyle w:val="TableParagraph"/>
              <w:spacing w:before="56"/>
              <w:rPr>
                <w:sz w:val="20"/>
              </w:rPr>
            </w:pPr>
            <w:r>
              <w:rPr>
                <w:spacing w:val="-5"/>
                <w:sz w:val="20"/>
              </w:rPr>
              <w:t>570</w:t>
            </w:r>
          </w:p>
        </w:tc>
      </w:tr>
      <w:tr w:rsidR="00483D15" w14:paraId="5B0C9F00" w14:textId="77777777">
        <w:trPr>
          <w:trHeight w:val="357"/>
        </w:trPr>
        <w:tc>
          <w:tcPr>
            <w:tcW w:w="388" w:type="dxa"/>
            <w:tcBorders>
              <w:top w:val="single" w:sz="8" w:space="0" w:color="4471C4"/>
              <w:bottom w:val="single" w:sz="8" w:space="0" w:color="4471C4"/>
            </w:tcBorders>
          </w:tcPr>
          <w:p w14:paraId="14AA8989" w14:textId="77777777" w:rsidR="00483D15" w:rsidRDefault="00000000">
            <w:pPr>
              <w:pStyle w:val="TableParagraph"/>
              <w:spacing w:before="56"/>
              <w:ind w:left="15"/>
              <w:jc w:val="center"/>
              <w:rPr>
                <w:sz w:val="20"/>
              </w:rPr>
            </w:pPr>
            <w:r>
              <w:rPr>
                <w:spacing w:val="-5"/>
                <w:sz w:val="20"/>
              </w:rPr>
              <w:t>10</w:t>
            </w:r>
          </w:p>
        </w:tc>
        <w:tc>
          <w:tcPr>
            <w:tcW w:w="2745" w:type="dxa"/>
            <w:tcBorders>
              <w:top w:val="single" w:sz="8" w:space="0" w:color="4471C4"/>
              <w:bottom w:val="single" w:sz="8" w:space="0" w:color="4471C4"/>
            </w:tcBorders>
          </w:tcPr>
          <w:p w14:paraId="6D6B0B68" w14:textId="77777777" w:rsidR="00483D15" w:rsidRDefault="00000000">
            <w:pPr>
              <w:pStyle w:val="TableParagraph"/>
              <w:spacing w:before="56"/>
              <w:rPr>
                <w:sz w:val="20"/>
              </w:rPr>
            </w:pPr>
            <w:r>
              <w:rPr>
                <w:sz w:val="20"/>
              </w:rPr>
              <w:t>United</w:t>
            </w:r>
            <w:r>
              <w:rPr>
                <w:spacing w:val="-6"/>
                <w:sz w:val="20"/>
              </w:rPr>
              <w:t xml:space="preserve"> </w:t>
            </w:r>
            <w:r>
              <w:rPr>
                <w:sz w:val="20"/>
              </w:rPr>
              <w:t>Wambo</w:t>
            </w:r>
            <w:r>
              <w:rPr>
                <w:spacing w:val="-3"/>
                <w:sz w:val="20"/>
              </w:rPr>
              <w:t xml:space="preserve"> </w:t>
            </w:r>
            <w:r>
              <w:rPr>
                <w:sz w:val="20"/>
              </w:rPr>
              <w:t>Coal</w:t>
            </w:r>
            <w:r>
              <w:rPr>
                <w:spacing w:val="-2"/>
                <w:sz w:val="20"/>
              </w:rPr>
              <w:t xml:space="preserve"> </w:t>
            </w:r>
            <w:r>
              <w:rPr>
                <w:spacing w:val="-4"/>
                <w:sz w:val="20"/>
              </w:rPr>
              <w:t>Mine</w:t>
            </w:r>
          </w:p>
        </w:tc>
        <w:tc>
          <w:tcPr>
            <w:tcW w:w="3119" w:type="dxa"/>
            <w:tcBorders>
              <w:top w:val="single" w:sz="8" w:space="0" w:color="4471C4"/>
              <w:bottom w:val="single" w:sz="8" w:space="0" w:color="4471C4"/>
            </w:tcBorders>
          </w:tcPr>
          <w:p w14:paraId="3EA18F4A" w14:textId="77777777" w:rsidR="00483D15" w:rsidRDefault="00000000">
            <w:pPr>
              <w:pStyle w:val="TableParagraph"/>
              <w:spacing w:before="56"/>
              <w:ind w:left="85"/>
              <w:rPr>
                <w:sz w:val="20"/>
              </w:rPr>
            </w:pPr>
            <w:r>
              <w:rPr>
                <w:spacing w:val="-2"/>
                <w:sz w:val="20"/>
              </w:rPr>
              <w:t>Singleton</w:t>
            </w:r>
          </w:p>
        </w:tc>
        <w:tc>
          <w:tcPr>
            <w:tcW w:w="1276" w:type="dxa"/>
            <w:tcBorders>
              <w:top w:val="single" w:sz="8" w:space="0" w:color="4471C4"/>
              <w:bottom w:val="single" w:sz="8" w:space="0" w:color="4471C4"/>
            </w:tcBorders>
          </w:tcPr>
          <w:p w14:paraId="5702E31F" w14:textId="77777777" w:rsidR="00483D15" w:rsidRDefault="00000000">
            <w:pPr>
              <w:pStyle w:val="TableParagraph"/>
              <w:spacing w:before="56"/>
              <w:ind w:left="83"/>
              <w:rPr>
                <w:sz w:val="20"/>
              </w:rPr>
            </w:pPr>
            <w:r>
              <w:rPr>
                <w:spacing w:val="-2"/>
                <w:sz w:val="20"/>
              </w:rPr>
              <w:t>381.18</w:t>
            </w:r>
          </w:p>
        </w:tc>
        <w:tc>
          <w:tcPr>
            <w:tcW w:w="1480" w:type="dxa"/>
            <w:tcBorders>
              <w:top w:val="single" w:sz="8" w:space="0" w:color="4471C4"/>
              <w:bottom w:val="single" w:sz="8" w:space="0" w:color="4471C4"/>
            </w:tcBorders>
          </w:tcPr>
          <w:p w14:paraId="24D002EA" w14:textId="77777777" w:rsidR="00483D15" w:rsidRDefault="00000000">
            <w:pPr>
              <w:pStyle w:val="TableParagraph"/>
              <w:spacing w:before="56"/>
              <w:rPr>
                <w:sz w:val="20"/>
              </w:rPr>
            </w:pPr>
            <w:r>
              <w:rPr>
                <w:spacing w:val="-5"/>
                <w:sz w:val="20"/>
              </w:rPr>
              <w:t>312</w:t>
            </w:r>
          </w:p>
        </w:tc>
      </w:tr>
      <w:tr w:rsidR="00483D15" w14:paraId="6669E563" w14:textId="77777777">
        <w:trPr>
          <w:trHeight w:val="602"/>
        </w:trPr>
        <w:tc>
          <w:tcPr>
            <w:tcW w:w="388" w:type="dxa"/>
            <w:tcBorders>
              <w:top w:val="single" w:sz="8" w:space="0" w:color="4471C4"/>
              <w:bottom w:val="single" w:sz="8" w:space="0" w:color="4471C4"/>
            </w:tcBorders>
          </w:tcPr>
          <w:p w14:paraId="0E3CB498" w14:textId="77777777" w:rsidR="00483D15" w:rsidRDefault="00000000">
            <w:pPr>
              <w:pStyle w:val="TableParagraph"/>
              <w:spacing w:before="56"/>
              <w:ind w:left="15"/>
              <w:jc w:val="center"/>
              <w:rPr>
                <w:sz w:val="20"/>
              </w:rPr>
            </w:pPr>
            <w:r>
              <w:rPr>
                <w:spacing w:val="-5"/>
                <w:sz w:val="20"/>
              </w:rPr>
              <w:t>11</w:t>
            </w:r>
          </w:p>
        </w:tc>
        <w:tc>
          <w:tcPr>
            <w:tcW w:w="2745" w:type="dxa"/>
            <w:tcBorders>
              <w:top w:val="single" w:sz="8" w:space="0" w:color="4471C4"/>
              <w:bottom w:val="single" w:sz="8" w:space="0" w:color="4471C4"/>
            </w:tcBorders>
          </w:tcPr>
          <w:p w14:paraId="49E8ECC8" w14:textId="77777777" w:rsidR="00483D15" w:rsidRDefault="00000000">
            <w:pPr>
              <w:pStyle w:val="TableParagraph"/>
              <w:spacing w:before="56"/>
              <w:rPr>
                <w:sz w:val="20"/>
              </w:rPr>
            </w:pPr>
            <w:proofErr w:type="spellStart"/>
            <w:r>
              <w:rPr>
                <w:sz w:val="20"/>
              </w:rPr>
              <w:t>Westconnex</w:t>
            </w:r>
            <w:proofErr w:type="spellEnd"/>
            <w:r>
              <w:rPr>
                <w:spacing w:val="-6"/>
                <w:sz w:val="20"/>
              </w:rPr>
              <w:t xml:space="preserve"> </w:t>
            </w:r>
            <w:r>
              <w:rPr>
                <w:sz w:val="20"/>
              </w:rPr>
              <w:t>New</w:t>
            </w:r>
            <w:r>
              <w:rPr>
                <w:spacing w:val="-4"/>
                <w:sz w:val="20"/>
              </w:rPr>
              <w:t xml:space="preserve"> </w:t>
            </w:r>
            <w:r>
              <w:rPr>
                <w:spacing w:val="-5"/>
                <w:sz w:val="20"/>
              </w:rPr>
              <w:t>M5</w:t>
            </w:r>
          </w:p>
        </w:tc>
        <w:tc>
          <w:tcPr>
            <w:tcW w:w="3119" w:type="dxa"/>
            <w:tcBorders>
              <w:top w:val="single" w:sz="8" w:space="0" w:color="4471C4"/>
              <w:bottom w:val="single" w:sz="8" w:space="0" w:color="4471C4"/>
            </w:tcBorders>
          </w:tcPr>
          <w:p w14:paraId="07D08C07" w14:textId="77777777" w:rsidR="00483D15" w:rsidRDefault="00000000">
            <w:pPr>
              <w:pStyle w:val="TableParagraph"/>
              <w:spacing w:before="56"/>
              <w:ind w:left="85"/>
              <w:rPr>
                <w:sz w:val="20"/>
              </w:rPr>
            </w:pPr>
            <w:r>
              <w:rPr>
                <w:sz w:val="20"/>
              </w:rPr>
              <w:t>Bayside, Canterbury Bankstown, Georges</w:t>
            </w:r>
            <w:r>
              <w:rPr>
                <w:spacing w:val="-9"/>
                <w:sz w:val="20"/>
              </w:rPr>
              <w:t xml:space="preserve"> </w:t>
            </w:r>
            <w:r>
              <w:rPr>
                <w:sz w:val="20"/>
              </w:rPr>
              <w:t>River,</w:t>
            </w:r>
            <w:r>
              <w:rPr>
                <w:spacing w:val="-10"/>
                <w:sz w:val="20"/>
              </w:rPr>
              <w:t xml:space="preserve"> </w:t>
            </w:r>
            <w:r>
              <w:rPr>
                <w:sz w:val="20"/>
              </w:rPr>
              <w:t>Inner</w:t>
            </w:r>
            <w:r>
              <w:rPr>
                <w:spacing w:val="-10"/>
                <w:sz w:val="20"/>
              </w:rPr>
              <w:t xml:space="preserve"> </w:t>
            </w:r>
            <w:r>
              <w:rPr>
                <w:sz w:val="20"/>
              </w:rPr>
              <w:t>West,</w:t>
            </w:r>
            <w:r>
              <w:rPr>
                <w:spacing w:val="-10"/>
                <w:sz w:val="20"/>
              </w:rPr>
              <w:t xml:space="preserve"> </w:t>
            </w:r>
            <w:r>
              <w:rPr>
                <w:sz w:val="20"/>
              </w:rPr>
              <w:t>Sydney</w:t>
            </w:r>
          </w:p>
        </w:tc>
        <w:tc>
          <w:tcPr>
            <w:tcW w:w="1276" w:type="dxa"/>
            <w:tcBorders>
              <w:top w:val="single" w:sz="8" w:space="0" w:color="4471C4"/>
              <w:bottom w:val="single" w:sz="8" w:space="0" w:color="4471C4"/>
            </w:tcBorders>
          </w:tcPr>
          <w:p w14:paraId="66989413" w14:textId="77777777" w:rsidR="00483D15" w:rsidRDefault="00000000">
            <w:pPr>
              <w:pStyle w:val="TableParagraph"/>
              <w:spacing w:before="56"/>
              <w:ind w:left="83"/>
              <w:rPr>
                <w:sz w:val="20"/>
              </w:rPr>
            </w:pPr>
            <w:r>
              <w:rPr>
                <w:spacing w:val="-2"/>
                <w:sz w:val="20"/>
              </w:rPr>
              <w:t>4,000.00</w:t>
            </w:r>
          </w:p>
        </w:tc>
        <w:tc>
          <w:tcPr>
            <w:tcW w:w="1480" w:type="dxa"/>
            <w:tcBorders>
              <w:top w:val="single" w:sz="8" w:space="0" w:color="4471C4"/>
              <w:bottom w:val="single" w:sz="8" w:space="0" w:color="4471C4"/>
            </w:tcBorders>
          </w:tcPr>
          <w:p w14:paraId="06758B33" w14:textId="77777777" w:rsidR="00483D15" w:rsidRDefault="00000000">
            <w:pPr>
              <w:pStyle w:val="TableParagraph"/>
              <w:spacing w:before="56"/>
              <w:rPr>
                <w:sz w:val="20"/>
              </w:rPr>
            </w:pPr>
            <w:r>
              <w:rPr>
                <w:spacing w:val="-4"/>
                <w:sz w:val="20"/>
              </w:rPr>
              <w:t>1600</w:t>
            </w:r>
          </w:p>
        </w:tc>
      </w:tr>
      <w:tr w:rsidR="00483D15" w14:paraId="79EEF4FF" w14:textId="77777777">
        <w:trPr>
          <w:trHeight w:val="358"/>
        </w:trPr>
        <w:tc>
          <w:tcPr>
            <w:tcW w:w="388" w:type="dxa"/>
            <w:tcBorders>
              <w:top w:val="single" w:sz="8" w:space="0" w:color="4471C4"/>
              <w:bottom w:val="single" w:sz="8" w:space="0" w:color="4471C4"/>
            </w:tcBorders>
          </w:tcPr>
          <w:p w14:paraId="0791FA35" w14:textId="77777777" w:rsidR="00483D15" w:rsidRDefault="00000000">
            <w:pPr>
              <w:pStyle w:val="TableParagraph"/>
              <w:spacing w:before="56"/>
              <w:ind w:left="15"/>
              <w:jc w:val="center"/>
              <w:rPr>
                <w:sz w:val="20"/>
              </w:rPr>
            </w:pPr>
            <w:r>
              <w:rPr>
                <w:spacing w:val="-5"/>
                <w:sz w:val="20"/>
              </w:rPr>
              <w:t>12</w:t>
            </w:r>
          </w:p>
        </w:tc>
        <w:tc>
          <w:tcPr>
            <w:tcW w:w="2745" w:type="dxa"/>
            <w:tcBorders>
              <w:top w:val="single" w:sz="8" w:space="0" w:color="4471C4"/>
              <w:bottom w:val="single" w:sz="8" w:space="0" w:color="4471C4"/>
            </w:tcBorders>
          </w:tcPr>
          <w:p w14:paraId="063884AC" w14:textId="77777777" w:rsidR="00483D15" w:rsidRDefault="00000000">
            <w:pPr>
              <w:pStyle w:val="TableParagraph"/>
              <w:spacing w:before="56"/>
              <w:rPr>
                <w:sz w:val="20"/>
              </w:rPr>
            </w:pPr>
            <w:proofErr w:type="spellStart"/>
            <w:r>
              <w:rPr>
                <w:sz w:val="20"/>
              </w:rPr>
              <w:t>Wilpinjong</w:t>
            </w:r>
            <w:proofErr w:type="spellEnd"/>
            <w:r>
              <w:rPr>
                <w:spacing w:val="-7"/>
                <w:sz w:val="20"/>
              </w:rPr>
              <w:t xml:space="preserve"> </w:t>
            </w:r>
            <w:r>
              <w:rPr>
                <w:sz w:val="20"/>
              </w:rPr>
              <w:t>Coal</w:t>
            </w:r>
            <w:r>
              <w:rPr>
                <w:spacing w:val="-5"/>
                <w:sz w:val="20"/>
              </w:rPr>
              <w:t xml:space="preserve"> </w:t>
            </w:r>
            <w:r>
              <w:rPr>
                <w:spacing w:val="-4"/>
                <w:sz w:val="20"/>
              </w:rPr>
              <w:t>Mine</w:t>
            </w:r>
          </w:p>
        </w:tc>
        <w:tc>
          <w:tcPr>
            <w:tcW w:w="3119" w:type="dxa"/>
            <w:tcBorders>
              <w:top w:val="single" w:sz="8" w:space="0" w:color="4471C4"/>
              <w:bottom w:val="single" w:sz="8" w:space="0" w:color="4471C4"/>
            </w:tcBorders>
          </w:tcPr>
          <w:p w14:paraId="41465D8D" w14:textId="77777777" w:rsidR="00483D15" w:rsidRDefault="00000000">
            <w:pPr>
              <w:pStyle w:val="TableParagraph"/>
              <w:spacing w:before="56"/>
              <w:ind w:left="85"/>
              <w:rPr>
                <w:sz w:val="20"/>
              </w:rPr>
            </w:pPr>
            <w:r>
              <w:rPr>
                <w:spacing w:val="-2"/>
                <w:sz w:val="20"/>
              </w:rPr>
              <w:t>Mid-Western</w:t>
            </w:r>
          </w:p>
        </w:tc>
        <w:tc>
          <w:tcPr>
            <w:tcW w:w="1276" w:type="dxa"/>
            <w:tcBorders>
              <w:top w:val="single" w:sz="8" w:space="0" w:color="4471C4"/>
              <w:bottom w:val="single" w:sz="8" w:space="0" w:color="4471C4"/>
            </w:tcBorders>
          </w:tcPr>
          <w:p w14:paraId="437FC45D" w14:textId="77777777" w:rsidR="00483D15" w:rsidRDefault="00000000">
            <w:pPr>
              <w:pStyle w:val="TableParagraph"/>
              <w:spacing w:before="56"/>
              <w:ind w:left="83"/>
              <w:rPr>
                <w:sz w:val="20"/>
              </w:rPr>
            </w:pPr>
            <w:r>
              <w:rPr>
                <w:spacing w:val="-2"/>
                <w:sz w:val="20"/>
              </w:rPr>
              <w:t>101.02</w:t>
            </w:r>
          </w:p>
        </w:tc>
        <w:tc>
          <w:tcPr>
            <w:tcW w:w="1480" w:type="dxa"/>
            <w:tcBorders>
              <w:top w:val="single" w:sz="8" w:space="0" w:color="4471C4"/>
              <w:bottom w:val="single" w:sz="8" w:space="0" w:color="4471C4"/>
            </w:tcBorders>
          </w:tcPr>
          <w:p w14:paraId="179CEAF8" w14:textId="77777777" w:rsidR="00483D15" w:rsidRDefault="00000000">
            <w:pPr>
              <w:pStyle w:val="TableParagraph"/>
              <w:spacing w:before="56"/>
              <w:rPr>
                <w:sz w:val="20"/>
              </w:rPr>
            </w:pPr>
            <w:r>
              <w:rPr>
                <w:spacing w:val="-5"/>
                <w:sz w:val="20"/>
              </w:rPr>
              <w:t>725</w:t>
            </w:r>
          </w:p>
        </w:tc>
      </w:tr>
      <w:tr w:rsidR="00483D15" w14:paraId="29D629AE" w14:textId="77777777">
        <w:trPr>
          <w:trHeight w:val="357"/>
        </w:trPr>
        <w:tc>
          <w:tcPr>
            <w:tcW w:w="388" w:type="dxa"/>
            <w:tcBorders>
              <w:top w:val="single" w:sz="8" w:space="0" w:color="4471C4"/>
              <w:bottom w:val="single" w:sz="8" w:space="0" w:color="4471C4"/>
            </w:tcBorders>
          </w:tcPr>
          <w:p w14:paraId="5F39D0B9" w14:textId="77777777" w:rsidR="00483D15" w:rsidRDefault="00000000">
            <w:pPr>
              <w:pStyle w:val="TableParagraph"/>
              <w:spacing w:before="56"/>
              <w:ind w:left="15"/>
              <w:jc w:val="center"/>
              <w:rPr>
                <w:sz w:val="20"/>
              </w:rPr>
            </w:pPr>
            <w:r>
              <w:rPr>
                <w:spacing w:val="-5"/>
                <w:sz w:val="20"/>
              </w:rPr>
              <w:t>13</w:t>
            </w:r>
          </w:p>
        </w:tc>
        <w:tc>
          <w:tcPr>
            <w:tcW w:w="2745" w:type="dxa"/>
            <w:tcBorders>
              <w:top w:val="single" w:sz="8" w:space="0" w:color="4471C4"/>
              <w:bottom w:val="single" w:sz="8" w:space="0" w:color="4471C4"/>
            </w:tcBorders>
          </w:tcPr>
          <w:p w14:paraId="48092D3C" w14:textId="77777777" w:rsidR="00483D15" w:rsidRDefault="00000000">
            <w:pPr>
              <w:pStyle w:val="TableParagraph"/>
              <w:spacing w:before="56"/>
              <w:rPr>
                <w:sz w:val="20"/>
              </w:rPr>
            </w:pPr>
            <w:proofErr w:type="spellStart"/>
            <w:r>
              <w:rPr>
                <w:sz w:val="20"/>
              </w:rPr>
              <w:t>Wollar</w:t>
            </w:r>
            <w:proofErr w:type="spellEnd"/>
            <w:r>
              <w:rPr>
                <w:spacing w:val="-3"/>
                <w:sz w:val="20"/>
              </w:rPr>
              <w:t xml:space="preserve"> </w:t>
            </w:r>
            <w:r>
              <w:rPr>
                <w:spacing w:val="-2"/>
                <w:sz w:val="20"/>
              </w:rPr>
              <w:t>Solar</w:t>
            </w:r>
          </w:p>
        </w:tc>
        <w:tc>
          <w:tcPr>
            <w:tcW w:w="3119" w:type="dxa"/>
            <w:tcBorders>
              <w:top w:val="single" w:sz="8" w:space="0" w:color="4471C4"/>
              <w:bottom w:val="single" w:sz="8" w:space="0" w:color="4471C4"/>
            </w:tcBorders>
          </w:tcPr>
          <w:p w14:paraId="23194372" w14:textId="77777777" w:rsidR="00483D15" w:rsidRDefault="00000000">
            <w:pPr>
              <w:pStyle w:val="TableParagraph"/>
              <w:spacing w:before="56"/>
              <w:ind w:left="85"/>
              <w:rPr>
                <w:sz w:val="20"/>
              </w:rPr>
            </w:pPr>
            <w:r>
              <w:rPr>
                <w:sz w:val="20"/>
              </w:rPr>
              <w:t>Mid-Western</w:t>
            </w:r>
            <w:r>
              <w:rPr>
                <w:spacing w:val="-9"/>
                <w:sz w:val="20"/>
              </w:rPr>
              <w:t xml:space="preserve"> </w:t>
            </w:r>
            <w:r>
              <w:rPr>
                <w:spacing w:val="-2"/>
                <w:sz w:val="20"/>
              </w:rPr>
              <w:t>Regional</w:t>
            </w:r>
          </w:p>
        </w:tc>
        <w:tc>
          <w:tcPr>
            <w:tcW w:w="1276" w:type="dxa"/>
            <w:tcBorders>
              <w:top w:val="single" w:sz="8" w:space="0" w:color="4471C4"/>
              <w:bottom w:val="single" w:sz="8" w:space="0" w:color="4471C4"/>
            </w:tcBorders>
          </w:tcPr>
          <w:p w14:paraId="1B3D2E6E" w14:textId="77777777" w:rsidR="00483D15" w:rsidRDefault="00000000">
            <w:pPr>
              <w:pStyle w:val="TableParagraph"/>
              <w:spacing w:before="56"/>
              <w:ind w:left="83"/>
              <w:rPr>
                <w:sz w:val="20"/>
              </w:rPr>
            </w:pPr>
            <w:r>
              <w:rPr>
                <w:spacing w:val="-2"/>
                <w:sz w:val="20"/>
              </w:rPr>
              <w:t>431.41</w:t>
            </w:r>
          </w:p>
        </w:tc>
        <w:tc>
          <w:tcPr>
            <w:tcW w:w="1480" w:type="dxa"/>
            <w:tcBorders>
              <w:top w:val="single" w:sz="8" w:space="0" w:color="4471C4"/>
              <w:bottom w:val="single" w:sz="8" w:space="0" w:color="4471C4"/>
            </w:tcBorders>
          </w:tcPr>
          <w:p w14:paraId="152AE66A" w14:textId="77777777" w:rsidR="00483D15" w:rsidRDefault="00000000">
            <w:pPr>
              <w:pStyle w:val="TableParagraph"/>
              <w:spacing w:before="56"/>
              <w:rPr>
                <w:sz w:val="20"/>
              </w:rPr>
            </w:pPr>
            <w:r>
              <w:rPr>
                <w:spacing w:val="-5"/>
                <w:sz w:val="20"/>
              </w:rPr>
              <w:t>325</w:t>
            </w:r>
          </w:p>
        </w:tc>
      </w:tr>
      <w:tr w:rsidR="00483D15" w14:paraId="4B0E5798" w14:textId="77777777">
        <w:trPr>
          <w:trHeight w:val="357"/>
        </w:trPr>
        <w:tc>
          <w:tcPr>
            <w:tcW w:w="388" w:type="dxa"/>
            <w:tcBorders>
              <w:top w:val="single" w:sz="8" w:space="0" w:color="4471C4"/>
              <w:bottom w:val="single" w:sz="8" w:space="0" w:color="4471C4"/>
            </w:tcBorders>
          </w:tcPr>
          <w:p w14:paraId="1809C265" w14:textId="77777777" w:rsidR="00483D15" w:rsidRDefault="00000000">
            <w:pPr>
              <w:pStyle w:val="TableParagraph"/>
              <w:spacing w:before="56"/>
              <w:ind w:left="15"/>
              <w:jc w:val="center"/>
              <w:rPr>
                <w:sz w:val="20"/>
              </w:rPr>
            </w:pPr>
            <w:r>
              <w:rPr>
                <w:spacing w:val="-5"/>
                <w:sz w:val="20"/>
              </w:rPr>
              <w:t>14</w:t>
            </w:r>
          </w:p>
        </w:tc>
        <w:tc>
          <w:tcPr>
            <w:tcW w:w="2745" w:type="dxa"/>
            <w:tcBorders>
              <w:top w:val="single" w:sz="8" w:space="0" w:color="4471C4"/>
              <w:bottom w:val="single" w:sz="8" w:space="0" w:color="4471C4"/>
            </w:tcBorders>
          </w:tcPr>
          <w:p w14:paraId="4973496C" w14:textId="77777777" w:rsidR="00483D15" w:rsidRDefault="00000000">
            <w:pPr>
              <w:pStyle w:val="TableParagraph"/>
              <w:spacing w:before="56"/>
              <w:rPr>
                <w:sz w:val="20"/>
              </w:rPr>
            </w:pPr>
            <w:r>
              <w:rPr>
                <w:sz w:val="20"/>
              </w:rPr>
              <w:t>Bylong</w:t>
            </w:r>
            <w:r>
              <w:rPr>
                <w:spacing w:val="-4"/>
                <w:sz w:val="20"/>
              </w:rPr>
              <w:t xml:space="preserve"> </w:t>
            </w:r>
            <w:r>
              <w:rPr>
                <w:sz w:val="20"/>
              </w:rPr>
              <w:t>Coal</w:t>
            </w:r>
            <w:r>
              <w:rPr>
                <w:spacing w:val="-3"/>
                <w:sz w:val="20"/>
              </w:rPr>
              <w:t xml:space="preserve"> </w:t>
            </w:r>
            <w:r>
              <w:rPr>
                <w:spacing w:val="-4"/>
                <w:sz w:val="20"/>
              </w:rPr>
              <w:t>Mine</w:t>
            </w:r>
          </w:p>
        </w:tc>
        <w:tc>
          <w:tcPr>
            <w:tcW w:w="3119" w:type="dxa"/>
            <w:tcBorders>
              <w:top w:val="single" w:sz="8" w:space="0" w:color="4471C4"/>
              <w:bottom w:val="single" w:sz="8" w:space="0" w:color="4471C4"/>
            </w:tcBorders>
          </w:tcPr>
          <w:p w14:paraId="66D49EEE" w14:textId="77777777" w:rsidR="00483D15" w:rsidRDefault="00000000">
            <w:pPr>
              <w:pStyle w:val="TableParagraph"/>
              <w:spacing w:before="56"/>
              <w:ind w:left="85"/>
              <w:rPr>
                <w:sz w:val="20"/>
              </w:rPr>
            </w:pPr>
            <w:r>
              <w:rPr>
                <w:spacing w:val="-2"/>
                <w:sz w:val="20"/>
              </w:rPr>
              <w:t>Mid-Western</w:t>
            </w:r>
          </w:p>
        </w:tc>
        <w:tc>
          <w:tcPr>
            <w:tcW w:w="1276" w:type="dxa"/>
            <w:tcBorders>
              <w:top w:val="single" w:sz="8" w:space="0" w:color="4471C4"/>
              <w:bottom w:val="single" w:sz="8" w:space="0" w:color="4471C4"/>
            </w:tcBorders>
          </w:tcPr>
          <w:p w14:paraId="05E2037B" w14:textId="77777777" w:rsidR="00483D15" w:rsidRDefault="00000000">
            <w:pPr>
              <w:pStyle w:val="TableParagraph"/>
              <w:spacing w:before="56"/>
              <w:ind w:left="83"/>
              <w:rPr>
                <w:sz w:val="20"/>
              </w:rPr>
            </w:pPr>
            <w:r>
              <w:rPr>
                <w:spacing w:val="-2"/>
                <w:sz w:val="20"/>
              </w:rPr>
              <w:t>1,577.80</w:t>
            </w:r>
          </w:p>
        </w:tc>
        <w:tc>
          <w:tcPr>
            <w:tcW w:w="1480" w:type="dxa"/>
            <w:tcBorders>
              <w:top w:val="single" w:sz="8" w:space="0" w:color="4471C4"/>
              <w:bottom w:val="single" w:sz="8" w:space="0" w:color="4471C4"/>
            </w:tcBorders>
          </w:tcPr>
          <w:p w14:paraId="4AAC3231" w14:textId="77777777" w:rsidR="00483D15" w:rsidRDefault="00000000">
            <w:pPr>
              <w:pStyle w:val="TableParagraph"/>
              <w:spacing w:before="56"/>
              <w:rPr>
                <w:sz w:val="20"/>
              </w:rPr>
            </w:pPr>
            <w:r>
              <w:rPr>
                <w:spacing w:val="-4"/>
                <w:sz w:val="20"/>
              </w:rPr>
              <w:t>1270</w:t>
            </w:r>
          </w:p>
        </w:tc>
      </w:tr>
      <w:tr w:rsidR="00483D15" w14:paraId="35521DEE" w14:textId="77777777">
        <w:trPr>
          <w:trHeight w:val="357"/>
        </w:trPr>
        <w:tc>
          <w:tcPr>
            <w:tcW w:w="388" w:type="dxa"/>
            <w:tcBorders>
              <w:top w:val="single" w:sz="8" w:space="0" w:color="4471C4"/>
              <w:bottom w:val="single" w:sz="8" w:space="0" w:color="4471C4"/>
            </w:tcBorders>
          </w:tcPr>
          <w:p w14:paraId="00433B3D" w14:textId="77777777" w:rsidR="00483D15" w:rsidRDefault="00000000">
            <w:pPr>
              <w:pStyle w:val="TableParagraph"/>
              <w:spacing w:before="56"/>
              <w:ind w:left="15"/>
              <w:jc w:val="center"/>
              <w:rPr>
                <w:sz w:val="20"/>
              </w:rPr>
            </w:pPr>
            <w:r>
              <w:rPr>
                <w:spacing w:val="-5"/>
                <w:sz w:val="20"/>
              </w:rPr>
              <w:t>15</w:t>
            </w:r>
          </w:p>
        </w:tc>
        <w:tc>
          <w:tcPr>
            <w:tcW w:w="2745" w:type="dxa"/>
            <w:tcBorders>
              <w:top w:val="single" w:sz="8" w:space="0" w:color="4471C4"/>
              <w:bottom w:val="single" w:sz="8" w:space="0" w:color="4471C4"/>
            </w:tcBorders>
          </w:tcPr>
          <w:p w14:paraId="2E443E8C" w14:textId="77777777" w:rsidR="00483D15" w:rsidRDefault="00000000">
            <w:pPr>
              <w:pStyle w:val="TableParagraph"/>
              <w:spacing w:before="56"/>
              <w:rPr>
                <w:sz w:val="20"/>
              </w:rPr>
            </w:pPr>
            <w:r>
              <w:rPr>
                <w:sz w:val="20"/>
              </w:rPr>
              <w:t>Jupiter</w:t>
            </w:r>
            <w:r>
              <w:rPr>
                <w:spacing w:val="-6"/>
                <w:sz w:val="20"/>
              </w:rPr>
              <w:t xml:space="preserve"> </w:t>
            </w:r>
            <w:r>
              <w:rPr>
                <w:spacing w:val="-2"/>
                <w:sz w:val="20"/>
              </w:rPr>
              <w:t>Windfarm</w:t>
            </w:r>
          </w:p>
        </w:tc>
        <w:tc>
          <w:tcPr>
            <w:tcW w:w="3119" w:type="dxa"/>
            <w:tcBorders>
              <w:top w:val="single" w:sz="8" w:space="0" w:color="4471C4"/>
              <w:bottom w:val="single" w:sz="8" w:space="0" w:color="4471C4"/>
            </w:tcBorders>
          </w:tcPr>
          <w:p w14:paraId="0B203ADC" w14:textId="77777777" w:rsidR="00483D15" w:rsidRDefault="00000000">
            <w:pPr>
              <w:pStyle w:val="TableParagraph"/>
              <w:spacing w:before="56"/>
              <w:ind w:left="85"/>
              <w:rPr>
                <w:sz w:val="20"/>
              </w:rPr>
            </w:pPr>
            <w:r>
              <w:rPr>
                <w:sz w:val="20"/>
              </w:rPr>
              <w:t>Goulburn</w:t>
            </w:r>
            <w:r>
              <w:rPr>
                <w:spacing w:val="-5"/>
                <w:sz w:val="20"/>
              </w:rPr>
              <w:t xml:space="preserve"> </w:t>
            </w:r>
            <w:proofErr w:type="spellStart"/>
            <w:r>
              <w:rPr>
                <w:spacing w:val="-2"/>
                <w:sz w:val="20"/>
              </w:rPr>
              <w:t>Mulwaree</w:t>
            </w:r>
            <w:proofErr w:type="spellEnd"/>
          </w:p>
        </w:tc>
        <w:tc>
          <w:tcPr>
            <w:tcW w:w="1276" w:type="dxa"/>
            <w:tcBorders>
              <w:top w:val="single" w:sz="8" w:space="0" w:color="4471C4"/>
              <w:bottom w:val="single" w:sz="8" w:space="0" w:color="4471C4"/>
            </w:tcBorders>
          </w:tcPr>
          <w:p w14:paraId="6E7EBC0C" w14:textId="77777777" w:rsidR="00483D15" w:rsidRDefault="00000000">
            <w:pPr>
              <w:pStyle w:val="TableParagraph"/>
              <w:spacing w:before="56"/>
              <w:ind w:left="83"/>
              <w:rPr>
                <w:sz w:val="20"/>
              </w:rPr>
            </w:pPr>
            <w:r>
              <w:rPr>
                <w:spacing w:val="-2"/>
                <w:sz w:val="20"/>
              </w:rPr>
              <w:t>380.50</w:t>
            </w:r>
          </w:p>
        </w:tc>
        <w:tc>
          <w:tcPr>
            <w:tcW w:w="1480" w:type="dxa"/>
            <w:tcBorders>
              <w:top w:val="single" w:sz="8" w:space="0" w:color="4471C4"/>
              <w:bottom w:val="single" w:sz="8" w:space="0" w:color="4471C4"/>
            </w:tcBorders>
          </w:tcPr>
          <w:p w14:paraId="0F01060F" w14:textId="77777777" w:rsidR="00483D15" w:rsidRDefault="00000000">
            <w:pPr>
              <w:pStyle w:val="TableParagraph"/>
              <w:spacing w:before="56"/>
              <w:rPr>
                <w:sz w:val="20"/>
              </w:rPr>
            </w:pPr>
            <w:r>
              <w:rPr>
                <w:spacing w:val="-5"/>
                <w:sz w:val="20"/>
              </w:rPr>
              <w:t>368</w:t>
            </w:r>
          </w:p>
        </w:tc>
      </w:tr>
      <w:tr w:rsidR="00483D15" w14:paraId="577BC95C" w14:textId="77777777">
        <w:trPr>
          <w:trHeight w:val="357"/>
        </w:trPr>
        <w:tc>
          <w:tcPr>
            <w:tcW w:w="388" w:type="dxa"/>
            <w:tcBorders>
              <w:top w:val="single" w:sz="8" w:space="0" w:color="4471C4"/>
              <w:bottom w:val="single" w:sz="8" w:space="0" w:color="4471C4"/>
            </w:tcBorders>
          </w:tcPr>
          <w:p w14:paraId="2A52FAF2" w14:textId="77777777" w:rsidR="00483D15" w:rsidRDefault="00000000">
            <w:pPr>
              <w:pStyle w:val="TableParagraph"/>
              <w:spacing w:before="56"/>
              <w:ind w:left="15"/>
              <w:jc w:val="center"/>
              <w:rPr>
                <w:sz w:val="20"/>
              </w:rPr>
            </w:pPr>
            <w:r>
              <w:rPr>
                <w:spacing w:val="-5"/>
                <w:sz w:val="20"/>
              </w:rPr>
              <w:t>16</w:t>
            </w:r>
          </w:p>
        </w:tc>
        <w:tc>
          <w:tcPr>
            <w:tcW w:w="2745" w:type="dxa"/>
            <w:tcBorders>
              <w:top w:val="single" w:sz="8" w:space="0" w:color="4471C4"/>
              <w:bottom w:val="single" w:sz="8" w:space="0" w:color="4471C4"/>
            </w:tcBorders>
          </w:tcPr>
          <w:p w14:paraId="4C71D454" w14:textId="77777777" w:rsidR="00483D15" w:rsidRDefault="00000000">
            <w:pPr>
              <w:pStyle w:val="TableParagraph"/>
              <w:spacing w:before="56"/>
              <w:rPr>
                <w:sz w:val="20"/>
              </w:rPr>
            </w:pPr>
            <w:proofErr w:type="spellStart"/>
            <w:r>
              <w:rPr>
                <w:sz w:val="20"/>
              </w:rPr>
              <w:t>Airly</w:t>
            </w:r>
            <w:proofErr w:type="spellEnd"/>
            <w:r>
              <w:rPr>
                <w:spacing w:val="-3"/>
                <w:sz w:val="20"/>
              </w:rPr>
              <w:t xml:space="preserve"> </w:t>
            </w:r>
            <w:r>
              <w:rPr>
                <w:sz w:val="20"/>
              </w:rPr>
              <w:t>Coal</w:t>
            </w:r>
            <w:r>
              <w:rPr>
                <w:spacing w:val="-4"/>
                <w:sz w:val="20"/>
              </w:rPr>
              <w:t xml:space="preserve"> Mine</w:t>
            </w:r>
          </w:p>
        </w:tc>
        <w:tc>
          <w:tcPr>
            <w:tcW w:w="3119" w:type="dxa"/>
            <w:tcBorders>
              <w:top w:val="single" w:sz="8" w:space="0" w:color="4471C4"/>
              <w:bottom w:val="single" w:sz="8" w:space="0" w:color="4471C4"/>
            </w:tcBorders>
          </w:tcPr>
          <w:p w14:paraId="45EB801E" w14:textId="77777777" w:rsidR="00483D15" w:rsidRDefault="00000000">
            <w:pPr>
              <w:pStyle w:val="TableParagraph"/>
              <w:spacing w:before="56"/>
              <w:ind w:left="85"/>
              <w:rPr>
                <w:sz w:val="20"/>
              </w:rPr>
            </w:pPr>
            <w:r>
              <w:rPr>
                <w:spacing w:val="-2"/>
                <w:sz w:val="20"/>
              </w:rPr>
              <w:t>Lithgow</w:t>
            </w:r>
          </w:p>
        </w:tc>
        <w:tc>
          <w:tcPr>
            <w:tcW w:w="1276" w:type="dxa"/>
            <w:tcBorders>
              <w:top w:val="single" w:sz="8" w:space="0" w:color="4471C4"/>
              <w:bottom w:val="single" w:sz="8" w:space="0" w:color="4471C4"/>
            </w:tcBorders>
          </w:tcPr>
          <w:p w14:paraId="769EE46C" w14:textId="77777777" w:rsidR="00483D15" w:rsidRDefault="00000000">
            <w:pPr>
              <w:pStyle w:val="TableParagraph"/>
              <w:spacing w:before="56"/>
              <w:ind w:left="83"/>
              <w:rPr>
                <w:sz w:val="20"/>
              </w:rPr>
            </w:pPr>
            <w:r>
              <w:rPr>
                <w:spacing w:val="-2"/>
                <w:sz w:val="20"/>
              </w:rPr>
              <w:t>86.63</w:t>
            </w:r>
          </w:p>
        </w:tc>
        <w:tc>
          <w:tcPr>
            <w:tcW w:w="1480" w:type="dxa"/>
            <w:tcBorders>
              <w:top w:val="single" w:sz="8" w:space="0" w:color="4471C4"/>
              <w:bottom w:val="single" w:sz="8" w:space="0" w:color="4471C4"/>
            </w:tcBorders>
          </w:tcPr>
          <w:p w14:paraId="48AE0828" w14:textId="77777777" w:rsidR="00483D15" w:rsidRDefault="00000000">
            <w:pPr>
              <w:pStyle w:val="TableParagraph"/>
              <w:spacing w:before="56"/>
              <w:rPr>
                <w:sz w:val="20"/>
              </w:rPr>
            </w:pPr>
            <w:r>
              <w:rPr>
                <w:spacing w:val="-5"/>
                <w:sz w:val="20"/>
              </w:rPr>
              <w:t>106</w:t>
            </w:r>
          </w:p>
        </w:tc>
      </w:tr>
      <w:tr w:rsidR="00483D15" w14:paraId="1A4B140F" w14:textId="77777777">
        <w:trPr>
          <w:trHeight w:val="602"/>
        </w:trPr>
        <w:tc>
          <w:tcPr>
            <w:tcW w:w="388" w:type="dxa"/>
            <w:tcBorders>
              <w:top w:val="single" w:sz="8" w:space="0" w:color="4471C4"/>
              <w:bottom w:val="single" w:sz="8" w:space="0" w:color="4471C4"/>
            </w:tcBorders>
          </w:tcPr>
          <w:p w14:paraId="42E8BEAA" w14:textId="77777777" w:rsidR="00483D15" w:rsidRDefault="00000000">
            <w:pPr>
              <w:pStyle w:val="TableParagraph"/>
              <w:spacing w:before="56"/>
              <w:ind w:left="15"/>
              <w:jc w:val="center"/>
              <w:rPr>
                <w:sz w:val="20"/>
              </w:rPr>
            </w:pPr>
            <w:r>
              <w:rPr>
                <w:spacing w:val="-5"/>
                <w:sz w:val="20"/>
              </w:rPr>
              <w:t>17</w:t>
            </w:r>
          </w:p>
        </w:tc>
        <w:tc>
          <w:tcPr>
            <w:tcW w:w="2745" w:type="dxa"/>
            <w:tcBorders>
              <w:top w:val="single" w:sz="8" w:space="0" w:color="4471C4"/>
              <w:bottom w:val="single" w:sz="8" w:space="0" w:color="4471C4"/>
            </w:tcBorders>
          </w:tcPr>
          <w:p w14:paraId="75E75D57" w14:textId="77777777" w:rsidR="00483D15" w:rsidRDefault="00000000">
            <w:pPr>
              <w:pStyle w:val="TableParagraph"/>
              <w:spacing w:before="56"/>
              <w:ind w:right="62"/>
              <w:rPr>
                <w:sz w:val="20"/>
              </w:rPr>
            </w:pPr>
            <w:r>
              <w:rPr>
                <w:sz w:val="20"/>
              </w:rPr>
              <w:t>Inland</w:t>
            </w:r>
            <w:r>
              <w:rPr>
                <w:spacing w:val="-10"/>
                <w:sz w:val="20"/>
              </w:rPr>
              <w:t xml:space="preserve"> </w:t>
            </w:r>
            <w:r>
              <w:rPr>
                <w:sz w:val="20"/>
              </w:rPr>
              <w:t>Rail</w:t>
            </w:r>
            <w:r>
              <w:rPr>
                <w:spacing w:val="-10"/>
                <w:sz w:val="20"/>
              </w:rPr>
              <w:t xml:space="preserve"> </w:t>
            </w:r>
            <w:r>
              <w:rPr>
                <w:sz w:val="20"/>
              </w:rPr>
              <w:t>–</w:t>
            </w:r>
            <w:r>
              <w:rPr>
                <w:spacing w:val="-9"/>
                <w:sz w:val="20"/>
              </w:rPr>
              <w:t xml:space="preserve"> </w:t>
            </w:r>
            <w:r>
              <w:rPr>
                <w:sz w:val="20"/>
              </w:rPr>
              <w:t>Parkes</w:t>
            </w:r>
            <w:r>
              <w:rPr>
                <w:spacing w:val="-9"/>
                <w:sz w:val="20"/>
              </w:rPr>
              <w:t xml:space="preserve"> </w:t>
            </w:r>
            <w:r>
              <w:rPr>
                <w:sz w:val="20"/>
              </w:rPr>
              <w:t xml:space="preserve">to </w:t>
            </w:r>
            <w:proofErr w:type="spellStart"/>
            <w:r>
              <w:rPr>
                <w:spacing w:val="-2"/>
                <w:sz w:val="20"/>
              </w:rPr>
              <w:t>Narromine</w:t>
            </w:r>
            <w:proofErr w:type="spellEnd"/>
          </w:p>
        </w:tc>
        <w:tc>
          <w:tcPr>
            <w:tcW w:w="3119" w:type="dxa"/>
            <w:tcBorders>
              <w:top w:val="single" w:sz="8" w:space="0" w:color="4471C4"/>
              <w:bottom w:val="single" w:sz="8" w:space="0" w:color="4471C4"/>
            </w:tcBorders>
          </w:tcPr>
          <w:p w14:paraId="47F4CDCA" w14:textId="77777777" w:rsidR="00483D15" w:rsidRDefault="00000000">
            <w:pPr>
              <w:pStyle w:val="TableParagraph"/>
              <w:spacing w:before="56"/>
              <w:ind w:left="85"/>
              <w:rPr>
                <w:sz w:val="20"/>
              </w:rPr>
            </w:pPr>
            <w:proofErr w:type="spellStart"/>
            <w:r>
              <w:rPr>
                <w:sz w:val="20"/>
              </w:rPr>
              <w:t>Narromine</w:t>
            </w:r>
            <w:proofErr w:type="spellEnd"/>
            <w:r>
              <w:rPr>
                <w:sz w:val="20"/>
              </w:rPr>
              <w:t>,</w:t>
            </w:r>
            <w:r>
              <w:rPr>
                <w:spacing w:val="-8"/>
                <w:sz w:val="20"/>
              </w:rPr>
              <w:t xml:space="preserve"> </w:t>
            </w:r>
            <w:r>
              <w:rPr>
                <w:spacing w:val="-2"/>
                <w:sz w:val="20"/>
              </w:rPr>
              <w:t>Parkes</w:t>
            </w:r>
          </w:p>
        </w:tc>
        <w:tc>
          <w:tcPr>
            <w:tcW w:w="1276" w:type="dxa"/>
            <w:tcBorders>
              <w:top w:val="single" w:sz="8" w:space="0" w:color="4471C4"/>
              <w:bottom w:val="single" w:sz="8" w:space="0" w:color="4471C4"/>
            </w:tcBorders>
          </w:tcPr>
          <w:p w14:paraId="1587898A" w14:textId="77777777" w:rsidR="00483D15" w:rsidRDefault="00000000">
            <w:pPr>
              <w:pStyle w:val="TableParagraph"/>
              <w:spacing w:before="56"/>
              <w:ind w:left="83"/>
              <w:rPr>
                <w:sz w:val="20"/>
              </w:rPr>
            </w:pPr>
            <w:r>
              <w:rPr>
                <w:spacing w:val="-2"/>
                <w:sz w:val="20"/>
              </w:rPr>
              <w:t>313.67</w:t>
            </w:r>
          </w:p>
        </w:tc>
        <w:tc>
          <w:tcPr>
            <w:tcW w:w="1480" w:type="dxa"/>
            <w:tcBorders>
              <w:top w:val="single" w:sz="8" w:space="0" w:color="4471C4"/>
              <w:bottom w:val="single" w:sz="8" w:space="0" w:color="4471C4"/>
            </w:tcBorders>
          </w:tcPr>
          <w:p w14:paraId="0BB42DBB" w14:textId="77777777" w:rsidR="00483D15" w:rsidRDefault="00000000">
            <w:pPr>
              <w:pStyle w:val="TableParagraph"/>
              <w:spacing w:before="56"/>
              <w:rPr>
                <w:sz w:val="20"/>
              </w:rPr>
            </w:pPr>
            <w:r>
              <w:rPr>
                <w:spacing w:val="-5"/>
                <w:sz w:val="20"/>
              </w:rPr>
              <w:t>530</w:t>
            </w:r>
          </w:p>
        </w:tc>
      </w:tr>
      <w:tr w:rsidR="00483D15" w14:paraId="0C72A7E7" w14:textId="77777777">
        <w:trPr>
          <w:trHeight w:val="357"/>
        </w:trPr>
        <w:tc>
          <w:tcPr>
            <w:tcW w:w="388" w:type="dxa"/>
            <w:tcBorders>
              <w:top w:val="single" w:sz="8" w:space="0" w:color="4471C4"/>
              <w:bottom w:val="single" w:sz="8" w:space="0" w:color="4471C4"/>
            </w:tcBorders>
          </w:tcPr>
          <w:p w14:paraId="4D4D54F9" w14:textId="77777777" w:rsidR="00483D15" w:rsidRDefault="00000000">
            <w:pPr>
              <w:pStyle w:val="TableParagraph"/>
              <w:spacing w:before="56"/>
              <w:ind w:left="15"/>
              <w:jc w:val="center"/>
              <w:rPr>
                <w:sz w:val="20"/>
              </w:rPr>
            </w:pPr>
            <w:r>
              <w:rPr>
                <w:spacing w:val="-5"/>
                <w:sz w:val="20"/>
              </w:rPr>
              <w:t>18</w:t>
            </w:r>
          </w:p>
        </w:tc>
        <w:tc>
          <w:tcPr>
            <w:tcW w:w="2745" w:type="dxa"/>
            <w:tcBorders>
              <w:top w:val="single" w:sz="8" w:space="0" w:color="4471C4"/>
              <w:bottom w:val="single" w:sz="8" w:space="0" w:color="4471C4"/>
            </w:tcBorders>
          </w:tcPr>
          <w:p w14:paraId="2AC19FE9" w14:textId="77777777" w:rsidR="00483D15" w:rsidRDefault="00000000">
            <w:pPr>
              <w:pStyle w:val="TableParagraph"/>
              <w:spacing w:before="56"/>
              <w:rPr>
                <w:sz w:val="20"/>
              </w:rPr>
            </w:pPr>
            <w:proofErr w:type="spellStart"/>
            <w:r>
              <w:rPr>
                <w:sz w:val="20"/>
              </w:rPr>
              <w:t>Moolarben</w:t>
            </w:r>
            <w:proofErr w:type="spellEnd"/>
            <w:r>
              <w:rPr>
                <w:spacing w:val="-7"/>
                <w:sz w:val="20"/>
              </w:rPr>
              <w:t xml:space="preserve"> </w:t>
            </w:r>
            <w:r>
              <w:rPr>
                <w:sz w:val="20"/>
              </w:rPr>
              <w:t>Coal</w:t>
            </w:r>
            <w:r>
              <w:rPr>
                <w:spacing w:val="-5"/>
                <w:sz w:val="20"/>
              </w:rPr>
              <w:t xml:space="preserve"> </w:t>
            </w:r>
            <w:r>
              <w:rPr>
                <w:spacing w:val="-4"/>
                <w:sz w:val="20"/>
              </w:rPr>
              <w:t>Mods</w:t>
            </w:r>
          </w:p>
        </w:tc>
        <w:tc>
          <w:tcPr>
            <w:tcW w:w="3119" w:type="dxa"/>
            <w:tcBorders>
              <w:top w:val="single" w:sz="8" w:space="0" w:color="4471C4"/>
              <w:bottom w:val="single" w:sz="8" w:space="0" w:color="4471C4"/>
            </w:tcBorders>
          </w:tcPr>
          <w:p w14:paraId="6120841C" w14:textId="77777777" w:rsidR="00483D15" w:rsidRDefault="00000000">
            <w:pPr>
              <w:pStyle w:val="TableParagraph"/>
              <w:spacing w:before="56"/>
              <w:ind w:left="85"/>
              <w:rPr>
                <w:sz w:val="20"/>
              </w:rPr>
            </w:pPr>
            <w:r>
              <w:rPr>
                <w:spacing w:val="-2"/>
                <w:sz w:val="20"/>
              </w:rPr>
              <w:t>Mid-Western</w:t>
            </w:r>
          </w:p>
        </w:tc>
        <w:tc>
          <w:tcPr>
            <w:tcW w:w="1276" w:type="dxa"/>
            <w:tcBorders>
              <w:top w:val="single" w:sz="8" w:space="0" w:color="4471C4"/>
              <w:bottom w:val="single" w:sz="8" w:space="0" w:color="4471C4"/>
            </w:tcBorders>
          </w:tcPr>
          <w:p w14:paraId="3779178A" w14:textId="77777777" w:rsidR="00483D15" w:rsidRDefault="00483D15">
            <w:pPr>
              <w:pStyle w:val="TableParagraph"/>
              <w:ind w:left="0"/>
              <w:rPr>
                <w:rFonts w:ascii="Times New Roman"/>
                <w:sz w:val="20"/>
              </w:rPr>
            </w:pPr>
          </w:p>
        </w:tc>
        <w:tc>
          <w:tcPr>
            <w:tcW w:w="1480" w:type="dxa"/>
            <w:tcBorders>
              <w:top w:val="single" w:sz="8" w:space="0" w:color="4471C4"/>
              <w:bottom w:val="single" w:sz="8" w:space="0" w:color="4471C4"/>
            </w:tcBorders>
          </w:tcPr>
          <w:p w14:paraId="3B88DC27" w14:textId="77777777" w:rsidR="00483D15" w:rsidRDefault="00483D15">
            <w:pPr>
              <w:pStyle w:val="TableParagraph"/>
              <w:ind w:left="0"/>
              <w:rPr>
                <w:rFonts w:ascii="Times New Roman"/>
                <w:sz w:val="20"/>
              </w:rPr>
            </w:pPr>
          </w:p>
        </w:tc>
      </w:tr>
      <w:tr w:rsidR="00483D15" w14:paraId="29232AD5" w14:textId="77777777">
        <w:trPr>
          <w:trHeight w:val="358"/>
        </w:trPr>
        <w:tc>
          <w:tcPr>
            <w:tcW w:w="388" w:type="dxa"/>
            <w:tcBorders>
              <w:top w:val="single" w:sz="8" w:space="0" w:color="4471C4"/>
              <w:bottom w:val="single" w:sz="8" w:space="0" w:color="4471C4"/>
            </w:tcBorders>
          </w:tcPr>
          <w:p w14:paraId="259FF354" w14:textId="77777777" w:rsidR="00483D15" w:rsidRDefault="00000000">
            <w:pPr>
              <w:pStyle w:val="TableParagraph"/>
              <w:spacing w:before="56"/>
              <w:ind w:left="15"/>
              <w:jc w:val="center"/>
              <w:rPr>
                <w:sz w:val="20"/>
              </w:rPr>
            </w:pPr>
            <w:r>
              <w:rPr>
                <w:spacing w:val="-5"/>
                <w:sz w:val="20"/>
              </w:rPr>
              <w:t>19</w:t>
            </w:r>
          </w:p>
        </w:tc>
        <w:tc>
          <w:tcPr>
            <w:tcW w:w="2745" w:type="dxa"/>
            <w:tcBorders>
              <w:top w:val="single" w:sz="8" w:space="0" w:color="4471C4"/>
              <w:bottom w:val="single" w:sz="8" w:space="0" w:color="4471C4"/>
            </w:tcBorders>
          </w:tcPr>
          <w:p w14:paraId="0446B004" w14:textId="77777777" w:rsidR="00483D15" w:rsidRDefault="00000000">
            <w:pPr>
              <w:pStyle w:val="TableParagraph"/>
              <w:spacing w:before="56"/>
              <w:rPr>
                <w:sz w:val="20"/>
              </w:rPr>
            </w:pPr>
            <w:r>
              <w:rPr>
                <w:sz w:val="20"/>
              </w:rPr>
              <w:t>Peppertree</w:t>
            </w:r>
            <w:r>
              <w:rPr>
                <w:spacing w:val="-5"/>
                <w:sz w:val="20"/>
              </w:rPr>
              <w:t xml:space="preserve"> </w:t>
            </w:r>
            <w:r>
              <w:rPr>
                <w:sz w:val="20"/>
              </w:rPr>
              <w:t>Quarry</w:t>
            </w:r>
            <w:r>
              <w:rPr>
                <w:spacing w:val="-4"/>
                <w:sz w:val="20"/>
              </w:rPr>
              <w:t xml:space="preserve"> </w:t>
            </w:r>
            <w:r>
              <w:rPr>
                <w:sz w:val="20"/>
              </w:rPr>
              <w:t>Mod</w:t>
            </w:r>
            <w:r>
              <w:rPr>
                <w:spacing w:val="-5"/>
                <w:sz w:val="20"/>
              </w:rPr>
              <w:t xml:space="preserve"> </w:t>
            </w:r>
            <w:r>
              <w:rPr>
                <w:spacing w:val="-10"/>
                <w:sz w:val="20"/>
              </w:rPr>
              <w:t>5</w:t>
            </w:r>
          </w:p>
        </w:tc>
        <w:tc>
          <w:tcPr>
            <w:tcW w:w="3119" w:type="dxa"/>
            <w:tcBorders>
              <w:top w:val="single" w:sz="8" w:space="0" w:color="4471C4"/>
              <w:bottom w:val="single" w:sz="8" w:space="0" w:color="4471C4"/>
            </w:tcBorders>
          </w:tcPr>
          <w:p w14:paraId="26DB3C68" w14:textId="77777777" w:rsidR="00483D15" w:rsidRDefault="00000000">
            <w:pPr>
              <w:pStyle w:val="TableParagraph"/>
              <w:spacing w:before="56"/>
              <w:ind w:left="85"/>
              <w:rPr>
                <w:sz w:val="20"/>
              </w:rPr>
            </w:pPr>
            <w:r>
              <w:rPr>
                <w:sz w:val="20"/>
              </w:rPr>
              <w:t>Goulburn</w:t>
            </w:r>
            <w:r>
              <w:rPr>
                <w:spacing w:val="-5"/>
                <w:sz w:val="20"/>
              </w:rPr>
              <w:t xml:space="preserve"> </w:t>
            </w:r>
            <w:proofErr w:type="spellStart"/>
            <w:r>
              <w:rPr>
                <w:spacing w:val="-2"/>
                <w:sz w:val="20"/>
              </w:rPr>
              <w:t>Mulwaree</w:t>
            </w:r>
            <w:proofErr w:type="spellEnd"/>
          </w:p>
        </w:tc>
        <w:tc>
          <w:tcPr>
            <w:tcW w:w="1276" w:type="dxa"/>
            <w:tcBorders>
              <w:top w:val="single" w:sz="8" w:space="0" w:color="4471C4"/>
              <w:bottom w:val="single" w:sz="8" w:space="0" w:color="4471C4"/>
            </w:tcBorders>
          </w:tcPr>
          <w:p w14:paraId="43A9290A" w14:textId="77777777" w:rsidR="00483D15" w:rsidRDefault="00000000">
            <w:pPr>
              <w:pStyle w:val="TableParagraph"/>
              <w:spacing w:before="56"/>
              <w:ind w:left="83"/>
              <w:rPr>
                <w:sz w:val="20"/>
              </w:rPr>
            </w:pPr>
            <w:r>
              <w:rPr>
                <w:spacing w:val="-4"/>
                <w:sz w:val="20"/>
              </w:rPr>
              <w:t>1.50</w:t>
            </w:r>
          </w:p>
        </w:tc>
        <w:tc>
          <w:tcPr>
            <w:tcW w:w="1480" w:type="dxa"/>
            <w:tcBorders>
              <w:top w:val="single" w:sz="8" w:space="0" w:color="4471C4"/>
              <w:bottom w:val="single" w:sz="8" w:space="0" w:color="4471C4"/>
            </w:tcBorders>
          </w:tcPr>
          <w:p w14:paraId="4B983482" w14:textId="77777777" w:rsidR="00483D15" w:rsidRDefault="00000000">
            <w:pPr>
              <w:pStyle w:val="TableParagraph"/>
              <w:spacing w:before="56"/>
              <w:rPr>
                <w:sz w:val="20"/>
              </w:rPr>
            </w:pPr>
            <w:r>
              <w:rPr>
                <w:spacing w:val="-5"/>
                <w:sz w:val="20"/>
              </w:rPr>
              <w:t>20</w:t>
            </w:r>
          </w:p>
        </w:tc>
      </w:tr>
      <w:tr w:rsidR="00483D15" w14:paraId="270FCD90" w14:textId="77777777">
        <w:trPr>
          <w:trHeight w:val="357"/>
        </w:trPr>
        <w:tc>
          <w:tcPr>
            <w:tcW w:w="388" w:type="dxa"/>
            <w:tcBorders>
              <w:top w:val="single" w:sz="8" w:space="0" w:color="4471C4"/>
              <w:bottom w:val="single" w:sz="8" w:space="0" w:color="4471C4"/>
            </w:tcBorders>
          </w:tcPr>
          <w:p w14:paraId="452EEB6B" w14:textId="77777777" w:rsidR="00483D15" w:rsidRDefault="00000000">
            <w:pPr>
              <w:pStyle w:val="TableParagraph"/>
              <w:spacing w:before="56"/>
              <w:ind w:left="15"/>
              <w:jc w:val="center"/>
              <w:rPr>
                <w:sz w:val="20"/>
              </w:rPr>
            </w:pPr>
            <w:r>
              <w:rPr>
                <w:spacing w:val="-5"/>
                <w:sz w:val="20"/>
              </w:rPr>
              <w:t>20</w:t>
            </w:r>
          </w:p>
        </w:tc>
        <w:tc>
          <w:tcPr>
            <w:tcW w:w="2745" w:type="dxa"/>
            <w:tcBorders>
              <w:top w:val="single" w:sz="8" w:space="0" w:color="4471C4"/>
              <w:bottom w:val="single" w:sz="8" w:space="0" w:color="4471C4"/>
            </w:tcBorders>
          </w:tcPr>
          <w:p w14:paraId="340A50FF" w14:textId="77777777" w:rsidR="00483D15" w:rsidRDefault="00000000">
            <w:pPr>
              <w:pStyle w:val="TableParagraph"/>
              <w:spacing w:before="56"/>
              <w:rPr>
                <w:sz w:val="20"/>
              </w:rPr>
            </w:pPr>
            <w:r>
              <w:rPr>
                <w:sz w:val="20"/>
              </w:rPr>
              <w:t>Wambo</w:t>
            </w:r>
            <w:r>
              <w:rPr>
                <w:spacing w:val="-3"/>
                <w:sz w:val="20"/>
              </w:rPr>
              <w:t xml:space="preserve"> </w:t>
            </w:r>
            <w:r>
              <w:rPr>
                <w:sz w:val="20"/>
              </w:rPr>
              <w:t>Mod</w:t>
            </w:r>
            <w:r>
              <w:rPr>
                <w:spacing w:val="-2"/>
                <w:sz w:val="20"/>
              </w:rPr>
              <w:t xml:space="preserve"> </w:t>
            </w:r>
            <w:r>
              <w:rPr>
                <w:spacing w:val="-5"/>
                <w:sz w:val="20"/>
              </w:rPr>
              <w:t>12</w:t>
            </w:r>
          </w:p>
        </w:tc>
        <w:tc>
          <w:tcPr>
            <w:tcW w:w="3119" w:type="dxa"/>
            <w:tcBorders>
              <w:top w:val="single" w:sz="8" w:space="0" w:color="4471C4"/>
              <w:bottom w:val="single" w:sz="8" w:space="0" w:color="4471C4"/>
            </w:tcBorders>
          </w:tcPr>
          <w:p w14:paraId="0AD21A69" w14:textId="77777777" w:rsidR="00483D15" w:rsidRDefault="00000000">
            <w:pPr>
              <w:pStyle w:val="TableParagraph"/>
              <w:spacing w:before="56"/>
              <w:ind w:left="85"/>
              <w:rPr>
                <w:sz w:val="20"/>
              </w:rPr>
            </w:pPr>
            <w:r>
              <w:rPr>
                <w:spacing w:val="-2"/>
                <w:sz w:val="20"/>
              </w:rPr>
              <w:t>Singleton</w:t>
            </w:r>
          </w:p>
        </w:tc>
        <w:tc>
          <w:tcPr>
            <w:tcW w:w="1276" w:type="dxa"/>
            <w:tcBorders>
              <w:top w:val="single" w:sz="8" w:space="0" w:color="4471C4"/>
              <w:bottom w:val="single" w:sz="8" w:space="0" w:color="4471C4"/>
            </w:tcBorders>
          </w:tcPr>
          <w:p w14:paraId="394BE478" w14:textId="77777777" w:rsidR="00483D15" w:rsidRDefault="00000000">
            <w:pPr>
              <w:pStyle w:val="TableParagraph"/>
              <w:spacing w:before="56"/>
              <w:ind w:left="83"/>
              <w:rPr>
                <w:sz w:val="20"/>
              </w:rPr>
            </w:pPr>
            <w:r>
              <w:rPr>
                <w:spacing w:val="-2"/>
                <w:sz w:val="20"/>
              </w:rPr>
              <w:t>651.86</w:t>
            </w:r>
          </w:p>
        </w:tc>
        <w:tc>
          <w:tcPr>
            <w:tcW w:w="1480" w:type="dxa"/>
            <w:tcBorders>
              <w:top w:val="single" w:sz="8" w:space="0" w:color="4471C4"/>
              <w:bottom w:val="single" w:sz="8" w:space="0" w:color="4471C4"/>
            </w:tcBorders>
          </w:tcPr>
          <w:p w14:paraId="2F889D85" w14:textId="77777777" w:rsidR="00483D15" w:rsidRDefault="00000000">
            <w:pPr>
              <w:pStyle w:val="TableParagraph"/>
              <w:spacing w:before="56"/>
              <w:rPr>
                <w:sz w:val="20"/>
              </w:rPr>
            </w:pPr>
            <w:r>
              <w:rPr>
                <w:spacing w:val="-5"/>
                <w:sz w:val="20"/>
              </w:rPr>
              <w:t>250</w:t>
            </w:r>
          </w:p>
        </w:tc>
      </w:tr>
      <w:tr w:rsidR="00483D15" w14:paraId="4C32EDBD" w14:textId="77777777">
        <w:trPr>
          <w:trHeight w:val="359"/>
        </w:trPr>
        <w:tc>
          <w:tcPr>
            <w:tcW w:w="388" w:type="dxa"/>
            <w:tcBorders>
              <w:top w:val="single" w:sz="8" w:space="0" w:color="4471C4"/>
              <w:bottom w:val="single" w:sz="8" w:space="0" w:color="4471C4"/>
            </w:tcBorders>
          </w:tcPr>
          <w:p w14:paraId="244DC36A" w14:textId="77777777" w:rsidR="00483D15" w:rsidRDefault="00000000">
            <w:pPr>
              <w:pStyle w:val="TableParagraph"/>
              <w:spacing w:before="56"/>
              <w:ind w:left="15"/>
              <w:jc w:val="center"/>
              <w:rPr>
                <w:sz w:val="20"/>
              </w:rPr>
            </w:pPr>
            <w:r>
              <w:rPr>
                <w:spacing w:val="-5"/>
                <w:sz w:val="20"/>
              </w:rPr>
              <w:t>21</w:t>
            </w:r>
          </w:p>
        </w:tc>
        <w:tc>
          <w:tcPr>
            <w:tcW w:w="2745" w:type="dxa"/>
            <w:tcBorders>
              <w:top w:val="single" w:sz="8" w:space="0" w:color="4471C4"/>
              <w:bottom w:val="single" w:sz="8" w:space="0" w:color="4471C4"/>
            </w:tcBorders>
          </w:tcPr>
          <w:p w14:paraId="564E7287" w14:textId="77777777" w:rsidR="00483D15" w:rsidRDefault="00000000">
            <w:pPr>
              <w:pStyle w:val="TableParagraph"/>
              <w:spacing w:before="56"/>
              <w:rPr>
                <w:sz w:val="20"/>
              </w:rPr>
            </w:pPr>
            <w:r>
              <w:rPr>
                <w:sz w:val="20"/>
              </w:rPr>
              <w:t>Wambo</w:t>
            </w:r>
            <w:r>
              <w:rPr>
                <w:spacing w:val="-3"/>
                <w:sz w:val="20"/>
              </w:rPr>
              <w:t xml:space="preserve"> </w:t>
            </w:r>
            <w:r>
              <w:rPr>
                <w:sz w:val="20"/>
              </w:rPr>
              <w:t>Mod</w:t>
            </w:r>
            <w:r>
              <w:rPr>
                <w:spacing w:val="-2"/>
                <w:sz w:val="20"/>
              </w:rPr>
              <w:t xml:space="preserve"> </w:t>
            </w:r>
            <w:r>
              <w:rPr>
                <w:spacing w:val="-5"/>
                <w:sz w:val="20"/>
              </w:rPr>
              <w:t>17</w:t>
            </w:r>
          </w:p>
        </w:tc>
        <w:tc>
          <w:tcPr>
            <w:tcW w:w="3119" w:type="dxa"/>
            <w:tcBorders>
              <w:top w:val="single" w:sz="8" w:space="0" w:color="4471C4"/>
              <w:bottom w:val="single" w:sz="8" w:space="0" w:color="4471C4"/>
            </w:tcBorders>
          </w:tcPr>
          <w:p w14:paraId="1A8C87A7" w14:textId="77777777" w:rsidR="00483D15" w:rsidRDefault="00000000">
            <w:pPr>
              <w:pStyle w:val="TableParagraph"/>
              <w:spacing w:before="56"/>
              <w:ind w:left="85"/>
              <w:rPr>
                <w:sz w:val="20"/>
              </w:rPr>
            </w:pPr>
            <w:r>
              <w:rPr>
                <w:spacing w:val="-2"/>
                <w:sz w:val="20"/>
              </w:rPr>
              <w:t>Singleton</w:t>
            </w:r>
          </w:p>
        </w:tc>
        <w:tc>
          <w:tcPr>
            <w:tcW w:w="1276" w:type="dxa"/>
            <w:tcBorders>
              <w:top w:val="single" w:sz="8" w:space="0" w:color="4471C4"/>
              <w:bottom w:val="single" w:sz="8" w:space="0" w:color="4471C4"/>
            </w:tcBorders>
          </w:tcPr>
          <w:p w14:paraId="1C3CC6A5" w14:textId="77777777" w:rsidR="00483D15" w:rsidRDefault="00483D15">
            <w:pPr>
              <w:pStyle w:val="TableParagraph"/>
              <w:ind w:left="0"/>
              <w:rPr>
                <w:rFonts w:ascii="Times New Roman"/>
                <w:sz w:val="20"/>
              </w:rPr>
            </w:pPr>
          </w:p>
        </w:tc>
        <w:tc>
          <w:tcPr>
            <w:tcW w:w="1480" w:type="dxa"/>
            <w:tcBorders>
              <w:top w:val="single" w:sz="8" w:space="0" w:color="4471C4"/>
              <w:bottom w:val="single" w:sz="8" w:space="0" w:color="4471C4"/>
            </w:tcBorders>
          </w:tcPr>
          <w:p w14:paraId="629D6B86" w14:textId="77777777" w:rsidR="00483D15" w:rsidRDefault="00483D15">
            <w:pPr>
              <w:pStyle w:val="TableParagraph"/>
              <w:ind w:left="0"/>
              <w:rPr>
                <w:rFonts w:ascii="Times New Roman"/>
                <w:sz w:val="20"/>
              </w:rPr>
            </w:pPr>
          </w:p>
        </w:tc>
      </w:tr>
    </w:tbl>
    <w:p w14:paraId="58D74160" w14:textId="77777777" w:rsidR="00483D15" w:rsidRDefault="00483D15">
      <w:pPr>
        <w:pStyle w:val="TableParagraph"/>
        <w:rPr>
          <w:rFonts w:ascii="Times New Roman"/>
          <w:sz w:val="20"/>
        </w:rPr>
        <w:sectPr w:rsidR="00483D15">
          <w:pgSz w:w="11910" w:h="16840"/>
          <w:pgMar w:top="1340" w:right="566" w:bottom="1200" w:left="992" w:header="0" w:footer="1000" w:gutter="0"/>
          <w:cols w:space="720"/>
        </w:sectPr>
      </w:pPr>
    </w:p>
    <w:p w14:paraId="54F3F849" w14:textId="77777777" w:rsidR="00483D15" w:rsidRDefault="00000000">
      <w:pPr>
        <w:spacing w:before="82"/>
        <w:ind w:left="22"/>
        <w:rPr>
          <w:rFonts w:ascii="Arial" w:hAnsi="Arial"/>
          <w:sz w:val="24"/>
        </w:rPr>
      </w:pPr>
      <w:r>
        <w:rPr>
          <w:rFonts w:ascii="Arial" w:hAnsi="Arial"/>
          <w:sz w:val="24"/>
        </w:rPr>
        <w:lastRenderedPageBreak/>
        <w:t>APPENDIX</w:t>
      </w:r>
      <w:r>
        <w:rPr>
          <w:rFonts w:ascii="Arial" w:hAnsi="Arial"/>
          <w:spacing w:val="-3"/>
          <w:sz w:val="24"/>
        </w:rPr>
        <w:t xml:space="preserve"> </w:t>
      </w:r>
      <w:r>
        <w:rPr>
          <w:rFonts w:ascii="Arial" w:hAnsi="Arial"/>
          <w:sz w:val="24"/>
        </w:rPr>
        <w:t>C</w:t>
      </w:r>
      <w:r>
        <w:rPr>
          <w:rFonts w:ascii="Arial" w:hAnsi="Arial"/>
          <w:spacing w:val="-2"/>
          <w:sz w:val="24"/>
        </w:rPr>
        <w:t xml:space="preserve"> </w:t>
      </w:r>
      <w:r>
        <w:rPr>
          <w:rFonts w:ascii="Arial" w:hAnsi="Arial"/>
          <w:sz w:val="24"/>
        </w:rPr>
        <w:t>–</w:t>
      </w:r>
      <w:r>
        <w:rPr>
          <w:rFonts w:ascii="Arial" w:hAnsi="Arial"/>
          <w:spacing w:val="-2"/>
          <w:sz w:val="24"/>
        </w:rPr>
        <w:t xml:space="preserve"> </w:t>
      </w:r>
      <w:r>
        <w:rPr>
          <w:rFonts w:ascii="Arial" w:hAnsi="Arial"/>
          <w:sz w:val="24"/>
        </w:rPr>
        <w:t>NOUS</w:t>
      </w:r>
      <w:r>
        <w:rPr>
          <w:rFonts w:ascii="Arial" w:hAnsi="Arial"/>
          <w:spacing w:val="-3"/>
          <w:sz w:val="24"/>
        </w:rPr>
        <w:t xml:space="preserve"> </w:t>
      </w:r>
      <w:r>
        <w:rPr>
          <w:rFonts w:ascii="Arial" w:hAnsi="Arial"/>
          <w:sz w:val="24"/>
        </w:rPr>
        <w:t>GROUP</w:t>
      </w:r>
      <w:r>
        <w:rPr>
          <w:rFonts w:ascii="Arial" w:hAnsi="Arial"/>
          <w:spacing w:val="-2"/>
          <w:sz w:val="24"/>
        </w:rPr>
        <w:t xml:space="preserve"> REPORT</w:t>
      </w:r>
    </w:p>
    <w:sectPr w:rsidR="00483D15">
      <w:pgSz w:w="11910" w:h="16840"/>
      <w:pgMar w:top="1340" w:right="566" w:bottom="1200" w:left="992" w:header="0" w:footer="100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F514C0E" w14:textId="77777777" w:rsidR="006340C0" w:rsidRDefault="006340C0">
      <w:r>
        <w:separator/>
      </w:r>
    </w:p>
  </w:endnote>
  <w:endnote w:type="continuationSeparator" w:id="0">
    <w:p w14:paraId="0425322F" w14:textId="77777777" w:rsidR="006340C0" w:rsidRDefault="006340C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1"/>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D0A4D6A" w14:textId="5FEC1334" w:rsidR="00765A42" w:rsidRDefault="00765A42">
    <w:pPr>
      <w:pStyle w:val="Footer"/>
    </w:pPr>
    <w:r>
      <w:rPr>
        <w:noProof/>
      </w:rPr>
      <mc:AlternateContent>
        <mc:Choice Requires="wps">
          <w:drawing>
            <wp:anchor distT="0" distB="0" distL="0" distR="0" simplePos="0" relativeHeight="487056896" behindDoc="0" locked="0" layoutInCell="1" allowOverlap="1" wp14:anchorId="7EA98E46" wp14:editId="71ED0163">
              <wp:simplePos x="635" y="635"/>
              <wp:positionH relativeFrom="page">
                <wp:align>center</wp:align>
              </wp:positionH>
              <wp:positionV relativeFrom="page">
                <wp:align>bottom</wp:align>
              </wp:positionV>
              <wp:extent cx="622300" cy="376555"/>
              <wp:effectExtent l="0" t="0" r="6350" b="0"/>
              <wp:wrapNone/>
              <wp:docPr id="1452257187" name="Text Box 23" descr="OFFIC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622300" cy="376555"/>
                      </a:xfrm>
                      <a:prstGeom prst="rect">
                        <a:avLst/>
                      </a:prstGeom>
                      <a:noFill/>
                      <a:ln>
                        <a:noFill/>
                      </a:ln>
                    </wps:spPr>
                    <wps:txbx>
                      <w:txbxContent>
                        <w:p w14:paraId="23EAB526" w14:textId="7E3439E9" w:rsidR="00765A42" w:rsidRPr="00765A42" w:rsidRDefault="00765A42" w:rsidP="00765A42">
                          <w:pPr>
                            <w:rPr>
                              <w:rFonts w:ascii="Aptos" w:eastAsia="Aptos" w:hAnsi="Aptos" w:cs="Aptos"/>
                              <w:noProof/>
                              <w:color w:val="FF0000"/>
                              <w:sz w:val="24"/>
                              <w:szCs w:val="24"/>
                            </w:rPr>
                          </w:pPr>
                          <w:r w:rsidRPr="00765A42">
                            <w:rPr>
                              <w:rFonts w:ascii="Aptos" w:eastAsia="Aptos" w:hAnsi="Aptos" w:cs="Aptos"/>
                              <w:noProof/>
                              <w:color w:val="FF0000"/>
                              <w:sz w:val="24"/>
                              <w:szCs w:val="24"/>
                            </w:rPr>
                            <w:t>OFFICIAL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7EA98E46" id="_x0000_t202" coordsize="21600,21600" o:spt="202" path="m,l,21600r21600,l21600,xe">
              <v:stroke joinstyle="miter"/>
              <v:path gradientshapeok="t" o:connecttype="rect"/>
            </v:shapetype>
            <v:shape id="Text Box 23" o:spid="_x0000_s1036" type="#_x0000_t202" alt="OFFICIAL" style="position:absolute;margin-left:0;margin-top:0;width:49pt;height:29.65pt;z-index:487056896;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" filled="f" stroked="f">
              <v:fill o:detectmouseclick="t"/>
              <v:textbox style="mso-fit-shape-to-text:t" inset="0,0,0,15pt">
                <w:txbxContent>
                  <w:p w14:paraId="23EAB526" w14:textId="7E3439E9" w:rsidR="00765A42" w:rsidRPr="00765A42" w:rsidRDefault="00765A42" w:rsidP="00765A42">
                    <w:pPr>
                      <w:rPr>
                        <w:rFonts w:ascii="Aptos" w:eastAsia="Aptos" w:hAnsi="Aptos" w:cs="Aptos"/>
                        <w:noProof/>
                        <w:color w:val="FF0000"/>
                        <w:sz w:val="24"/>
                        <w:szCs w:val="24"/>
                      </w:rPr>
                    </w:pPr>
                    <w:r w:rsidRPr="00765A42">
                      <w:rPr>
                        <w:rFonts w:ascii="Aptos" w:eastAsia="Aptos" w:hAnsi="Aptos" w:cs="Aptos"/>
                        <w:noProof/>
                        <w:color w:val="FF0000"/>
                        <w:sz w:val="24"/>
                        <w:szCs w:val="24"/>
                      </w:rPr>
                      <w:t>OFFICIAL</w:t>
                    </w:r>
                  </w:p>
                </w:txbxContent>
              </v:textbox>
              <w10:wrap anchorx="page" anchory="pag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A41FD83" w14:textId="172230D7" w:rsidR="00483D15" w:rsidRDefault="00000000">
    <w:pPr>
      <w:pStyle w:val="BodyText"/>
      <w:spacing w:line="14" w:lineRule="auto"/>
      <w:rPr>
        <w:sz w:val="20"/>
      </w:rPr>
    </w:pPr>
    <w:r>
      <w:rPr>
        <w:noProof/>
        <w:sz w:val="20"/>
      </w:rPr>
      <mc:AlternateContent>
        <mc:Choice Requires="wps">
          <w:drawing>
            <wp:anchor distT="0" distB="0" distL="0" distR="0" simplePos="0" relativeHeight="487051776" behindDoc="1" locked="0" layoutInCell="1" allowOverlap="1" wp14:anchorId="53E6ECBF" wp14:editId="15B859A3">
              <wp:simplePos x="0" y="0"/>
              <wp:positionH relativeFrom="page">
                <wp:posOffset>3696715</wp:posOffset>
              </wp:positionH>
              <wp:positionV relativeFrom="page">
                <wp:posOffset>9917493</wp:posOffset>
              </wp:positionV>
              <wp:extent cx="167640" cy="165100"/>
              <wp:effectExtent l="0" t="0" r="0" b="0"/>
              <wp:wrapNone/>
              <wp:docPr id="1" name="Text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67640" cy="165100"/>
                      </a:xfrm>
                      <a:prstGeom prst="rect">
                        <a:avLst/>
                      </a:prstGeom>
                    </wps:spPr>
                    <wps:txbx>
                      <w:txbxContent>
                        <w:p w14:paraId="4F5C7DA2" w14:textId="77777777" w:rsidR="00483D15" w:rsidRDefault="00000000">
                          <w:pPr>
                            <w:pStyle w:val="BodyText"/>
                            <w:spacing w:line="244" w:lineRule="exact"/>
                            <w:ind w:left="20"/>
                          </w:pPr>
                          <w:r>
                            <w:rPr>
                              <w:spacing w:val="-5"/>
                            </w:rPr>
                            <w:fldChar w:fldCharType="begin"/>
                          </w:r>
                          <w:r>
                            <w:rPr>
                              <w:spacing w:val="-5"/>
                            </w:rPr>
                            <w:instrText xml:space="preserve"> PAGE </w:instrText>
                          </w:r>
                          <w:r>
                            <w:rPr>
                              <w:spacing w:val="-5"/>
                            </w:rPr>
                            <w:fldChar w:fldCharType="separate"/>
                          </w:r>
                          <w:r>
                            <w:rPr>
                              <w:spacing w:val="-5"/>
                            </w:rPr>
                            <w:t>10</w:t>
                          </w:r>
                          <w:r>
                            <w:rPr>
                              <w:spacing w:val="-5"/>
                            </w:rPr>
                            <w:fldChar w:fldCharType="end"/>
                          </w:r>
                        </w:p>
                      </w:txbxContent>
                    </wps:txbx>
                    <wps:bodyPr wrap="square" lIns="0" tIns="0" rIns="0" bIns="0" rtlCol="0">
                      <a:noAutofit/>
                    </wps:bodyPr>
                  </wps:wsp>
                </a:graphicData>
              </a:graphic>
            </wp:anchor>
          </w:drawing>
        </mc:Choice>
        <mc:Fallback>
          <w:pict>
            <v:shapetype w14:anchorId="53E6ECBF" id="_x0000_t202" coordsize="21600,21600" o:spt="202" path="m,l,21600r21600,l21600,xe">
              <v:stroke joinstyle="miter"/>
              <v:path gradientshapeok="t" o:connecttype="rect"/>
            </v:shapetype>
            <v:shape id="Textbox 1" o:spid="_x0000_s1037" type="#_x0000_t202" style="position:absolute;margin-left:291.1pt;margin-top:780.9pt;width:13.2pt;height:13pt;z-index:-16264704;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" filled="f" stroked="f">
              <v:textbox inset="0,0,0,0">
                <w:txbxContent>
                  <w:p w14:paraId="4F5C7DA2" w14:textId="77777777" w:rsidR="00483D15" w:rsidRDefault="00000000">
                    <w:pPr>
                      <w:pStyle w:val="BodyText"/>
                      <w:spacing w:line="244" w:lineRule="exact"/>
                      <w:ind w:left="20"/>
                    </w:pPr>
                    <w:r>
                      <w:rPr>
                        <w:spacing w:val="-5"/>
                      </w:rPr>
                      <w:fldChar w:fldCharType="begin"/>
                    </w:r>
                    <w:r>
                      <w:rPr>
                        <w:spacing w:val="-5"/>
                      </w:rPr>
                      <w:instrText xml:space="preserve"> PAGE </w:instrText>
                    </w:r>
                    <w:r>
                      <w:rPr>
                        <w:spacing w:val="-5"/>
                      </w:rPr>
                      <w:fldChar w:fldCharType="separate"/>
                    </w:r>
                    <w:r>
                      <w:rPr>
                        <w:spacing w:val="-5"/>
                      </w:rPr>
                      <w:t>10</w:t>
                    </w:r>
                    <w:r>
                      <w:rPr>
                        <w:spacing w:val="-5"/>
                      </w:rPr>
                      <w:fldChar w:fldCharType="end"/>
                    </w:r>
                  </w:p>
                </w:txbxContent>
              </v:textbox>
              <w10:wrap anchorx="page" anchory="page"/>
            </v:shape>
          </w:pict>
        </mc:Fallback>
      </mc:AlternateConten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CEA19CF" w14:textId="45E5CC09" w:rsidR="00765A42" w:rsidRDefault="00765A42">
    <w:pPr>
      <w:pStyle w:val="Footer"/>
    </w:pPr>
    <w:r>
      <w:rPr>
        <w:noProof/>
      </w:rPr>
      <mc:AlternateContent>
        <mc:Choice Requires="wps">
          <w:drawing>
            <wp:anchor distT="0" distB="0" distL="0" distR="0" simplePos="0" relativeHeight="487055872" behindDoc="0" locked="0" layoutInCell="1" allowOverlap="1" wp14:anchorId="1BD14C44" wp14:editId="66FB5DFE">
              <wp:simplePos x="635" y="635"/>
              <wp:positionH relativeFrom="page">
                <wp:align>center</wp:align>
              </wp:positionH>
              <wp:positionV relativeFrom="page">
                <wp:align>bottom</wp:align>
              </wp:positionV>
              <wp:extent cx="622300" cy="376555"/>
              <wp:effectExtent l="0" t="0" r="6350" b="0"/>
              <wp:wrapNone/>
              <wp:docPr id="230007801" name="Text Box 22" descr="OFFIC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622300" cy="376555"/>
                      </a:xfrm>
                      <a:prstGeom prst="rect">
                        <a:avLst/>
                      </a:prstGeom>
                      <a:noFill/>
                      <a:ln>
                        <a:noFill/>
                      </a:ln>
                    </wps:spPr>
                    <wps:txbx>
                      <w:txbxContent>
                        <w:p w14:paraId="6DD1BF70" w14:textId="22AA308A" w:rsidR="00765A42" w:rsidRPr="00765A42" w:rsidRDefault="00765A42" w:rsidP="00765A42">
                          <w:pPr>
                            <w:rPr>
                              <w:rFonts w:ascii="Aptos" w:eastAsia="Aptos" w:hAnsi="Aptos" w:cs="Aptos"/>
                              <w:noProof/>
                              <w:color w:val="FF0000"/>
                              <w:sz w:val="24"/>
                              <w:szCs w:val="24"/>
                            </w:rPr>
                          </w:pPr>
                          <w:r w:rsidRPr="00765A42">
                            <w:rPr>
                              <w:rFonts w:ascii="Aptos" w:eastAsia="Aptos" w:hAnsi="Aptos" w:cs="Aptos"/>
                              <w:noProof/>
                              <w:color w:val="FF0000"/>
                              <w:sz w:val="24"/>
                              <w:szCs w:val="24"/>
                            </w:rPr>
                            <w:t>OFFICIAL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1BD14C44" id="_x0000_t202" coordsize="21600,21600" o:spt="202" path="m,l,21600r21600,l21600,xe">
              <v:stroke joinstyle="miter"/>
              <v:path gradientshapeok="t" o:connecttype="rect"/>
            </v:shapetype>
            <v:shape id="Text Box 22" o:spid="_x0000_s1039" type="#_x0000_t202" alt="OFFICIAL" style="position:absolute;margin-left:0;margin-top:0;width:49pt;height:29.65pt;z-index:487055872;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" filled="f" stroked="f">
              <v:fill o:detectmouseclick="t"/>
              <v:textbox style="mso-fit-shape-to-text:t" inset="0,0,0,15pt">
                <w:txbxContent>
                  <w:p w14:paraId="6DD1BF70" w14:textId="22AA308A" w:rsidR="00765A42" w:rsidRPr="00765A42" w:rsidRDefault="00765A42" w:rsidP="00765A42">
                    <w:pPr>
                      <w:rPr>
                        <w:rFonts w:ascii="Aptos" w:eastAsia="Aptos" w:hAnsi="Aptos" w:cs="Aptos"/>
                        <w:noProof/>
                        <w:color w:val="FF0000"/>
                        <w:sz w:val="24"/>
                        <w:szCs w:val="24"/>
                      </w:rPr>
                    </w:pPr>
                    <w:r w:rsidRPr="00765A42">
                      <w:rPr>
                        <w:rFonts w:ascii="Aptos" w:eastAsia="Aptos" w:hAnsi="Aptos" w:cs="Aptos"/>
                        <w:noProof/>
                        <w:color w:val="FF0000"/>
                        <w:sz w:val="24"/>
                        <w:szCs w:val="24"/>
                      </w:rPr>
                      <w:t>OFFICIAL</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56E8FA8" w14:textId="77777777" w:rsidR="006340C0" w:rsidRDefault="006340C0">
      <w:r>
        <w:separator/>
      </w:r>
    </w:p>
  </w:footnote>
  <w:footnote w:type="continuationSeparator" w:id="0">
    <w:p w14:paraId="71A84D28" w14:textId="77777777" w:rsidR="006340C0" w:rsidRDefault="006340C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46AE8D5" w14:textId="7CA231F5" w:rsidR="00765A42" w:rsidRDefault="00765A42">
    <w:pPr>
      <w:pStyle w:val="Header"/>
    </w:pPr>
    <w:r>
      <w:rPr>
        <w:noProof/>
      </w:rPr>
      <mc:AlternateContent>
        <mc:Choice Requires="wps">
          <w:drawing>
            <wp:anchor distT="0" distB="0" distL="0" distR="0" simplePos="0" relativeHeight="487053824" behindDoc="0" locked="0" layoutInCell="1" allowOverlap="1" wp14:anchorId="75637A8A" wp14:editId="572C4C50">
              <wp:simplePos x="635" y="635"/>
              <wp:positionH relativeFrom="page">
                <wp:align>center</wp:align>
              </wp:positionH>
              <wp:positionV relativeFrom="page">
                <wp:align>top</wp:align>
              </wp:positionV>
              <wp:extent cx="622300" cy="376555"/>
              <wp:effectExtent l="0" t="0" r="6350" b="4445"/>
              <wp:wrapNone/>
              <wp:docPr id="1993704359" name="Text Box 20"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622300" cy="376555"/>
                      </a:xfrm>
                      <a:prstGeom prst="rect">
                        <a:avLst/>
                      </a:prstGeom>
                      <a:noFill/>
                      <a:ln>
                        <a:noFill/>
                      </a:ln>
                    </wps:spPr>
                    <wps:txbx>
                      <w:txbxContent>
                        <w:p w14:paraId="07328222" w14:textId="37B714AA" w:rsidR="00765A42" w:rsidRPr="00765A42" w:rsidRDefault="00765A42" w:rsidP="00765A42">
                          <w:pPr>
                            <w:rPr>
                              <w:rFonts w:ascii="Aptos" w:eastAsia="Aptos" w:hAnsi="Aptos" w:cs="Aptos"/>
                              <w:noProof/>
                              <w:color w:val="FF0000"/>
                              <w:sz w:val="24"/>
                              <w:szCs w:val="24"/>
                            </w:rPr>
                          </w:pPr>
                          <w:r w:rsidRPr="00765A42">
                            <w:rPr>
                              <w:rFonts w:ascii="Aptos" w:eastAsia="Aptos" w:hAnsi="Aptos" w:cs="Aptos"/>
                              <w:noProof/>
                              <w:color w:val="FF0000"/>
                              <w:sz w:val="24"/>
                              <w:szCs w:val="24"/>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75637A8A" id="_x0000_t202" coordsize="21600,21600" o:spt="202" path="m,l,21600r21600,l21600,xe">
              <v:stroke joinstyle="miter"/>
              <v:path gradientshapeok="t" o:connecttype="rect"/>
            </v:shapetype>
            <v:shape id="Text Box 20" o:spid="_x0000_s1035" type="#_x0000_t202" alt="OFFICIAL" style="position:absolute;margin-left:0;margin-top:0;width:49pt;height:29.65pt;z-index:487053824;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" filled="f" stroked="f">
              <v:fill o:detectmouseclick="t"/>
              <v:textbox style="mso-fit-shape-to-text:t" inset="0,15pt,0,0">
                <w:txbxContent>
                  <w:p w14:paraId="07328222" w14:textId="37B714AA" w:rsidR="00765A42" w:rsidRPr="00765A42" w:rsidRDefault="00765A42" w:rsidP="00765A42">
                    <w:pPr>
                      <w:rPr>
                        <w:rFonts w:ascii="Aptos" w:eastAsia="Aptos" w:hAnsi="Aptos" w:cs="Aptos"/>
                        <w:noProof/>
                        <w:color w:val="FF0000"/>
                        <w:sz w:val="24"/>
                        <w:szCs w:val="24"/>
                      </w:rPr>
                    </w:pPr>
                    <w:r w:rsidRPr="00765A42">
                      <w:rPr>
                        <w:rFonts w:ascii="Aptos" w:eastAsia="Aptos" w:hAnsi="Aptos" w:cs="Aptos"/>
                        <w:noProof/>
                        <w:color w:val="FF0000"/>
                        <w:sz w:val="24"/>
                        <w:szCs w:val="24"/>
                      </w:rPr>
                      <w:t>OFFICIAL</w:t>
                    </w:r>
                  </w:p>
                </w:txbxContent>
              </v:textbox>
              <w10:wrap anchorx="page" anchory="page"/>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30F452D" w14:textId="1350DB3B" w:rsidR="00765A42" w:rsidRDefault="00765A42">
    <w:pPr>
      <w:pStyle w:val="Header"/>
    </w:pPr>
    <w:r>
      <w:rPr>
        <w:noProof/>
      </w:rPr>
      <mc:AlternateContent>
        <mc:Choice Requires="wps">
          <w:drawing>
            <wp:anchor distT="0" distB="0" distL="0" distR="0" simplePos="0" relativeHeight="487052800" behindDoc="0" locked="0" layoutInCell="1" allowOverlap="1" wp14:anchorId="1FF719B0" wp14:editId="7D67CB89">
              <wp:simplePos x="635" y="635"/>
              <wp:positionH relativeFrom="page">
                <wp:align>center</wp:align>
              </wp:positionH>
              <wp:positionV relativeFrom="page">
                <wp:align>top</wp:align>
              </wp:positionV>
              <wp:extent cx="622300" cy="376555"/>
              <wp:effectExtent l="0" t="0" r="6350" b="4445"/>
              <wp:wrapNone/>
              <wp:docPr id="32617372" name="Text Box 19"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622300" cy="376555"/>
                      </a:xfrm>
                      <a:prstGeom prst="rect">
                        <a:avLst/>
                      </a:prstGeom>
                      <a:noFill/>
                      <a:ln>
                        <a:noFill/>
                      </a:ln>
                    </wps:spPr>
                    <wps:txbx>
                      <w:txbxContent>
                        <w:p w14:paraId="3F64D48B" w14:textId="1A3AAEE4" w:rsidR="00765A42" w:rsidRPr="00765A42" w:rsidRDefault="00765A42" w:rsidP="00765A42">
                          <w:pPr>
                            <w:rPr>
                              <w:rFonts w:ascii="Aptos" w:eastAsia="Aptos" w:hAnsi="Aptos" w:cs="Aptos"/>
                              <w:noProof/>
                              <w:color w:val="FF0000"/>
                              <w:sz w:val="24"/>
                              <w:szCs w:val="24"/>
                            </w:rPr>
                          </w:pPr>
                          <w:r w:rsidRPr="00765A42">
                            <w:rPr>
                              <w:rFonts w:ascii="Aptos" w:eastAsia="Aptos" w:hAnsi="Aptos" w:cs="Aptos"/>
                              <w:noProof/>
                              <w:color w:val="FF0000"/>
                              <w:sz w:val="24"/>
                              <w:szCs w:val="24"/>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1FF719B0" id="_x0000_t202" coordsize="21600,21600" o:spt="202" path="m,l,21600r21600,l21600,xe">
              <v:stroke joinstyle="miter"/>
              <v:path gradientshapeok="t" o:connecttype="rect"/>
            </v:shapetype>
            <v:shape id="Text Box 19" o:spid="_x0000_s1038" type="#_x0000_t202" alt="OFFICIAL" style="position:absolute;margin-left:0;margin-top:0;width:49pt;height:29.65pt;z-index:487052800;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" filled="f" stroked="f">
              <v:fill o:detectmouseclick="t"/>
              <v:textbox style="mso-fit-shape-to-text:t" inset="0,15pt,0,0">
                <w:txbxContent>
                  <w:p w14:paraId="3F64D48B" w14:textId="1A3AAEE4" w:rsidR="00765A42" w:rsidRPr="00765A42" w:rsidRDefault="00765A42" w:rsidP="00765A42">
                    <w:pPr>
                      <w:rPr>
                        <w:rFonts w:ascii="Aptos" w:eastAsia="Aptos" w:hAnsi="Aptos" w:cs="Aptos"/>
                        <w:noProof/>
                        <w:color w:val="FF0000"/>
                        <w:sz w:val="24"/>
                        <w:szCs w:val="24"/>
                      </w:rPr>
                    </w:pPr>
                    <w:r w:rsidRPr="00765A42">
                      <w:rPr>
                        <w:rFonts w:ascii="Aptos" w:eastAsia="Aptos" w:hAnsi="Aptos" w:cs="Aptos"/>
                        <w:noProof/>
                        <w:color w:val="FF0000"/>
                        <w:sz w:val="24"/>
                        <w:szCs w:val="24"/>
                      </w:rPr>
                      <w:t>OFFICIAL</w:t>
                    </w: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FDB7FA6"/>
    <w:multiLevelType w:val="hybridMultilevel"/>
    <w:tmpl w:val="9DB0DDC4"/>
    <w:lvl w:ilvl="0" w:tplc="2EAA7C02">
      <w:numFmt w:val="bullet"/>
      <w:lvlText w:val=""/>
      <w:lvlJc w:val="left"/>
      <w:pPr>
        <w:ind w:left="467" w:hanging="360"/>
      </w:pPr>
      <w:rPr>
        <w:rFonts w:ascii="Symbol" w:eastAsia="Symbol" w:hAnsi="Symbol" w:cs="Symbol" w:hint="default"/>
        <w:b w:val="0"/>
        <w:bCs w:val="0"/>
        <w:i w:val="0"/>
        <w:iCs w:val="0"/>
        <w:spacing w:val="0"/>
        <w:w w:val="100"/>
        <w:sz w:val="20"/>
        <w:szCs w:val="20"/>
        <w:lang w:val="en-US" w:eastAsia="en-US" w:bidi="ar-SA"/>
      </w:rPr>
    </w:lvl>
    <w:lvl w:ilvl="1" w:tplc="C0DE9DBE">
      <w:numFmt w:val="bullet"/>
      <w:lvlText w:val="•"/>
      <w:lvlJc w:val="left"/>
      <w:pPr>
        <w:ind w:left="1008" w:hanging="360"/>
      </w:pPr>
      <w:rPr>
        <w:rFonts w:hint="default"/>
        <w:lang w:val="en-US" w:eastAsia="en-US" w:bidi="ar-SA"/>
      </w:rPr>
    </w:lvl>
    <w:lvl w:ilvl="2" w:tplc="05AE4316">
      <w:numFmt w:val="bullet"/>
      <w:lvlText w:val="•"/>
      <w:lvlJc w:val="left"/>
      <w:pPr>
        <w:ind w:left="1556" w:hanging="360"/>
      </w:pPr>
      <w:rPr>
        <w:rFonts w:hint="default"/>
        <w:lang w:val="en-US" w:eastAsia="en-US" w:bidi="ar-SA"/>
      </w:rPr>
    </w:lvl>
    <w:lvl w:ilvl="3" w:tplc="2EA49078">
      <w:numFmt w:val="bullet"/>
      <w:lvlText w:val="•"/>
      <w:lvlJc w:val="left"/>
      <w:pPr>
        <w:ind w:left="2104" w:hanging="360"/>
      </w:pPr>
      <w:rPr>
        <w:rFonts w:hint="default"/>
        <w:lang w:val="en-US" w:eastAsia="en-US" w:bidi="ar-SA"/>
      </w:rPr>
    </w:lvl>
    <w:lvl w:ilvl="4" w:tplc="BF2A2C8E">
      <w:numFmt w:val="bullet"/>
      <w:lvlText w:val="•"/>
      <w:lvlJc w:val="left"/>
      <w:pPr>
        <w:ind w:left="2652" w:hanging="360"/>
      </w:pPr>
      <w:rPr>
        <w:rFonts w:hint="default"/>
        <w:lang w:val="en-US" w:eastAsia="en-US" w:bidi="ar-SA"/>
      </w:rPr>
    </w:lvl>
    <w:lvl w:ilvl="5" w:tplc="BB7AAD7C">
      <w:numFmt w:val="bullet"/>
      <w:lvlText w:val="•"/>
      <w:lvlJc w:val="left"/>
      <w:pPr>
        <w:ind w:left="3200" w:hanging="360"/>
      </w:pPr>
      <w:rPr>
        <w:rFonts w:hint="default"/>
        <w:lang w:val="en-US" w:eastAsia="en-US" w:bidi="ar-SA"/>
      </w:rPr>
    </w:lvl>
    <w:lvl w:ilvl="6" w:tplc="090A2570">
      <w:numFmt w:val="bullet"/>
      <w:lvlText w:val="•"/>
      <w:lvlJc w:val="left"/>
      <w:pPr>
        <w:ind w:left="3748" w:hanging="360"/>
      </w:pPr>
      <w:rPr>
        <w:rFonts w:hint="default"/>
        <w:lang w:val="en-US" w:eastAsia="en-US" w:bidi="ar-SA"/>
      </w:rPr>
    </w:lvl>
    <w:lvl w:ilvl="7" w:tplc="A18C13D8">
      <w:numFmt w:val="bullet"/>
      <w:lvlText w:val="•"/>
      <w:lvlJc w:val="left"/>
      <w:pPr>
        <w:ind w:left="4296" w:hanging="360"/>
      </w:pPr>
      <w:rPr>
        <w:rFonts w:hint="default"/>
        <w:lang w:val="en-US" w:eastAsia="en-US" w:bidi="ar-SA"/>
      </w:rPr>
    </w:lvl>
    <w:lvl w:ilvl="8" w:tplc="B1C8F3B0">
      <w:numFmt w:val="bullet"/>
      <w:lvlText w:val="•"/>
      <w:lvlJc w:val="left"/>
      <w:pPr>
        <w:ind w:left="4844" w:hanging="360"/>
      </w:pPr>
      <w:rPr>
        <w:rFonts w:hint="default"/>
        <w:lang w:val="en-US" w:eastAsia="en-US" w:bidi="ar-SA"/>
      </w:rPr>
    </w:lvl>
  </w:abstractNum>
  <w:abstractNum w:abstractNumId="1" w15:restartNumberingAfterBreak="0">
    <w:nsid w:val="0FF6092E"/>
    <w:multiLevelType w:val="hybridMultilevel"/>
    <w:tmpl w:val="A7DE8192"/>
    <w:lvl w:ilvl="0" w:tplc="1CEA9572">
      <w:start w:val="1"/>
      <w:numFmt w:val="lowerLetter"/>
      <w:lvlText w:val="(%1)"/>
      <w:lvlJc w:val="left"/>
      <w:pPr>
        <w:ind w:left="108" w:hanging="720"/>
        <w:jc w:val="left"/>
      </w:pPr>
      <w:rPr>
        <w:rFonts w:ascii="Calibri" w:eastAsia="Calibri" w:hAnsi="Calibri" w:cs="Calibri" w:hint="default"/>
        <w:b w:val="0"/>
        <w:bCs w:val="0"/>
        <w:i w:val="0"/>
        <w:iCs w:val="0"/>
        <w:spacing w:val="0"/>
        <w:w w:val="99"/>
        <w:sz w:val="22"/>
        <w:szCs w:val="22"/>
        <w:lang w:val="en-US" w:eastAsia="en-US" w:bidi="ar-SA"/>
      </w:rPr>
    </w:lvl>
    <w:lvl w:ilvl="1" w:tplc="D5ACDA14">
      <w:numFmt w:val="bullet"/>
      <w:lvlText w:val="•"/>
      <w:lvlJc w:val="left"/>
      <w:pPr>
        <w:ind w:left="905" w:hanging="720"/>
      </w:pPr>
      <w:rPr>
        <w:rFonts w:hint="default"/>
        <w:lang w:val="en-US" w:eastAsia="en-US" w:bidi="ar-SA"/>
      </w:rPr>
    </w:lvl>
    <w:lvl w:ilvl="2" w:tplc="C0C28E2E">
      <w:numFmt w:val="bullet"/>
      <w:lvlText w:val="•"/>
      <w:lvlJc w:val="left"/>
      <w:pPr>
        <w:ind w:left="1711" w:hanging="720"/>
      </w:pPr>
      <w:rPr>
        <w:rFonts w:hint="default"/>
        <w:lang w:val="en-US" w:eastAsia="en-US" w:bidi="ar-SA"/>
      </w:rPr>
    </w:lvl>
    <w:lvl w:ilvl="3" w:tplc="EBD2837E">
      <w:numFmt w:val="bullet"/>
      <w:lvlText w:val="•"/>
      <w:lvlJc w:val="left"/>
      <w:pPr>
        <w:ind w:left="2517" w:hanging="720"/>
      </w:pPr>
      <w:rPr>
        <w:rFonts w:hint="default"/>
        <w:lang w:val="en-US" w:eastAsia="en-US" w:bidi="ar-SA"/>
      </w:rPr>
    </w:lvl>
    <w:lvl w:ilvl="4" w:tplc="DFDA2896">
      <w:numFmt w:val="bullet"/>
      <w:lvlText w:val="•"/>
      <w:lvlJc w:val="left"/>
      <w:pPr>
        <w:ind w:left="3323" w:hanging="720"/>
      </w:pPr>
      <w:rPr>
        <w:rFonts w:hint="default"/>
        <w:lang w:val="en-US" w:eastAsia="en-US" w:bidi="ar-SA"/>
      </w:rPr>
    </w:lvl>
    <w:lvl w:ilvl="5" w:tplc="63B47A56">
      <w:numFmt w:val="bullet"/>
      <w:lvlText w:val="•"/>
      <w:lvlJc w:val="left"/>
      <w:pPr>
        <w:ind w:left="4129" w:hanging="720"/>
      </w:pPr>
      <w:rPr>
        <w:rFonts w:hint="default"/>
        <w:lang w:val="en-US" w:eastAsia="en-US" w:bidi="ar-SA"/>
      </w:rPr>
    </w:lvl>
    <w:lvl w:ilvl="6" w:tplc="C636A05C">
      <w:numFmt w:val="bullet"/>
      <w:lvlText w:val="•"/>
      <w:lvlJc w:val="left"/>
      <w:pPr>
        <w:ind w:left="4935" w:hanging="720"/>
      </w:pPr>
      <w:rPr>
        <w:rFonts w:hint="default"/>
        <w:lang w:val="en-US" w:eastAsia="en-US" w:bidi="ar-SA"/>
      </w:rPr>
    </w:lvl>
    <w:lvl w:ilvl="7" w:tplc="96388F0C">
      <w:numFmt w:val="bullet"/>
      <w:lvlText w:val="•"/>
      <w:lvlJc w:val="left"/>
      <w:pPr>
        <w:ind w:left="5741" w:hanging="720"/>
      </w:pPr>
      <w:rPr>
        <w:rFonts w:hint="default"/>
        <w:lang w:val="en-US" w:eastAsia="en-US" w:bidi="ar-SA"/>
      </w:rPr>
    </w:lvl>
    <w:lvl w:ilvl="8" w:tplc="3A5ADFE4">
      <w:numFmt w:val="bullet"/>
      <w:lvlText w:val="•"/>
      <w:lvlJc w:val="left"/>
      <w:pPr>
        <w:ind w:left="6547" w:hanging="720"/>
      </w:pPr>
      <w:rPr>
        <w:rFonts w:hint="default"/>
        <w:lang w:val="en-US" w:eastAsia="en-US" w:bidi="ar-SA"/>
      </w:rPr>
    </w:lvl>
  </w:abstractNum>
  <w:abstractNum w:abstractNumId="2" w15:restartNumberingAfterBreak="0">
    <w:nsid w:val="174612E7"/>
    <w:multiLevelType w:val="hybridMultilevel"/>
    <w:tmpl w:val="C8E8F4D8"/>
    <w:lvl w:ilvl="0" w:tplc="ADA28D7C">
      <w:numFmt w:val="bullet"/>
      <w:lvlText w:val=""/>
      <w:lvlJc w:val="left"/>
      <w:pPr>
        <w:ind w:left="467" w:hanging="360"/>
      </w:pPr>
      <w:rPr>
        <w:rFonts w:ascii="Symbol" w:eastAsia="Symbol" w:hAnsi="Symbol" w:cs="Symbol" w:hint="default"/>
        <w:b w:val="0"/>
        <w:bCs w:val="0"/>
        <w:i w:val="0"/>
        <w:iCs w:val="0"/>
        <w:spacing w:val="0"/>
        <w:w w:val="100"/>
        <w:sz w:val="20"/>
        <w:szCs w:val="20"/>
        <w:lang w:val="en-US" w:eastAsia="en-US" w:bidi="ar-SA"/>
      </w:rPr>
    </w:lvl>
    <w:lvl w:ilvl="1" w:tplc="41863CBC">
      <w:numFmt w:val="bullet"/>
      <w:lvlText w:val="•"/>
      <w:lvlJc w:val="left"/>
      <w:pPr>
        <w:ind w:left="1008" w:hanging="360"/>
      </w:pPr>
      <w:rPr>
        <w:rFonts w:hint="default"/>
        <w:lang w:val="en-US" w:eastAsia="en-US" w:bidi="ar-SA"/>
      </w:rPr>
    </w:lvl>
    <w:lvl w:ilvl="2" w:tplc="873216E4">
      <w:numFmt w:val="bullet"/>
      <w:lvlText w:val="•"/>
      <w:lvlJc w:val="left"/>
      <w:pPr>
        <w:ind w:left="1556" w:hanging="360"/>
      </w:pPr>
      <w:rPr>
        <w:rFonts w:hint="default"/>
        <w:lang w:val="en-US" w:eastAsia="en-US" w:bidi="ar-SA"/>
      </w:rPr>
    </w:lvl>
    <w:lvl w:ilvl="3" w:tplc="8D427DD2">
      <w:numFmt w:val="bullet"/>
      <w:lvlText w:val="•"/>
      <w:lvlJc w:val="left"/>
      <w:pPr>
        <w:ind w:left="2104" w:hanging="360"/>
      </w:pPr>
      <w:rPr>
        <w:rFonts w:hint="default"/>
        <w:lang w:val="en-US" w:eastAsia="en-US" w:bidi="ar-SA"/>
      </w:rPr>
    </w:lvl>
    <w:lvl w:ilvl="4" w:tplc="5A7231FE">
      <w:numFmt w:val="bullet"/>
      <w:lvlText w:val="•"/>
      <w:lvlJc w:val="left"/>
      <w:pPr>
        <w:ind w:left="2652" w:hanging="360"/>
      </w:pPr>
      <w:rPr>
        <w:rFonts w:hint="default"/>
        <w:lang w:val="en-US" w:eastAsia="en-US" w:bidi="ar-SA"/>
      </w:rPr>
    </w:lvl>
    <w:lvl w:ilvl="5" w:tplc="2D6CF91E">
      <w:numFmt w:val="bullet"/>
      <w:lvlText w:val="•"/>
      <w:lvlJc w:val="left"/>
      <w:pPr>
        <w:ind w:left="3200" w:hanging="360"/>
      </w:pPr>
      <w:rPr>
        <w:rFonts w:hint="default"/>
        <w:lang w:val="en-US" w:eastAsia="en-US" w:bidi="ar-SA"/>
      </w:rPr>
    </w:lvl>
    <w:lvl w:ilvl="6" w:tplc="AC3046EA">
      <w:numFmt w:val="bullet"/>
      <w:lvlText w:val="•"/>
      <w:lvlJc w:val="left"/>
      <w:pPr>
        <w:ind w:left="3748" w:hanging="360"/>
      </w:pPr>
      <w:rPr>
        <w:rFonts w:hint="default"/>
        <w:lang w:val="en-US" w:eastAsia="en-US" w:bidi="ar-SA"/>
      </w:rPr>
    </w:lvl>
    <w:lvl w:ilvl="7" w:tplc="03204E3A">
      <w:numFmt w:val="bullet"/>
      <w:lvlText w:val="•"/>
      <w:lvlJc w:val="left"/>
      <w:pPr>
        <w:ind w:left="4296" w:hanging="360"/>
      </w:pPr>
      <w:rPr>
        <w:rFonts w:hint="default"/>
        <w:lang w:val="en-US" w:eastAsia="en-US" w:bidi="ar-SA"/>
      </w:rPr>
    </w:lvl>
    <w:lvl w:ilvl="8" w:tplc="7654F458">
      <w:numFmt w:val="bullet"/>
      <w:lvlText w:val="•"/>
      <w:lvlJc w:val="left"/>
      <w:pPr>
        <w:ind w:left="4844" w:hanging="360"/>
      </w:pPr>
      <w:rPr>
        <w:rFonts w:hint="default"/>
        <w:lang w:val="en-US" w:eastAsia="en-US" w:bidi="ar-SA"/>
      </w:rPr>
    </w:lvl>
  </w:abstractNum>
  <w:abstractNum w:abstractNumId="3" w15:restartNumberingAfterBreak="0">
    <w:nsid w:val="22084F6E"/>
    <w:multiLevelType w:val="hybridMultilevel"/>
    <w:tmpl w:val="030C6102"/>
    <w:lvl w:ilvl="0" w:tplc="E6DC479E">
      <w:numFmt w:val="bullet"/>
      <w:lvlText w:val=""/>
      <w:lvlJc w:val="left"/>
      <w:pPr>
        <w:ind w:left="467" w:hanging="360"/>
      </w:pPr>
      <w:rPr>
        <w:rFonts w:ascii="Symbol" w:eastAsia="Symbol" w:hAnsi="Symbol" w:cs="Symbol" w:hint="default"/>
        <w:b w:val="0"/>
        <w:bCs w:val="0"/>
        <w:i w:val="0"/>
        <w:iCs w:val="0"/>
        <w:spacing w:val="0"/>
        <w:w w:val="100"/>
        <w:sz w:val="20"/>
        <w:szCs w:val="20"/>
        <w:lang w:val="en-US" w:eastAsia="en-US" w:bidi="ar-SA"/>
      </w:rPr>
    </w:lvl>
    <w:lvl w:ilvl="1" w:tplc="ED64DF3A">
      <w:numFmt w:val="bullet"/>
      <w:lvlText w:val="•"/>
      <w:lvlJc w:val="left"/>
      <w:pPr>
        <w:ind w:left="1008" w:hanging="360"/>
      </w:pPr>
      <w:rPr>
        <w:rFonts w:hint="default"/>
        <w:lang w:val="en-US" w:eastAsia="en-US" w:bidi="ar-SA"/>
      </w:rPr>
    </w:lvl>
    <w:lvl w:ilvl="2" w:tplc="5F385524">
      <w:numFmt w:val="bullet"/>
      <w:lvlText w:val="•"/>
      <w:lvlJc w:val="left"/>
      <w:pPr>
        <w:ind w:left="1556" w:hanging="360"/>
      </w:pPr>
      <w:rPr>
        <w:rFonts w:hint="default"/>
        <w:lang w:val="en-US" w:eastAsia="en-US" w:bidi="ar-SA"/>
      </w:rPr>
    </w:lvl>
    <w:lvl w:ilvl="3" w:tplc="A268231A">
      <w:numFmt w:val="bullet"/>
      <w:lvlText w:val="•"/>
      <w:lvlJc w:val="left"/>
      <w:pPr>
        <w:ind w:left="2104" w:hanging="360"/>
      </w:pPr>
      <w:rPr>
        <w:rFonts w:hint="default"/>
        <w:lang w:val="en-US" w:eastAsia="en-US" w:bidi="ar-SA"/>
      </w:rPr>
    </w:lvl>
    <w:lvl w:ilvl="4" w:tplc="0290AD0C">
      <w:numFmt w:val="bullet"/>
      <w:lvlText w:val="•"/>
      <w:lvlJc w:val="left"/>
      <w:pPr>
        <w:ind w:left="2652" w:hanging="360"/>
      </w:pPr>
      <w:rPr>
        <w:rFonts w:hint="default"/>
        <w:lang w:val="en-US" w:eastAsia="en-US" w:bidi="ar-SA"/>
      </w:rPr>
    </w:lvl>
    <w:lvl w:ilvl="5" w:tplc="56B4B582">
      <w:numFmt w:val="bullet"/>
      <w:lvlText w:val="•"/>
      <w:lvlJc w:val="left"/>
      <w:pPr>
        <w:ind w:left="3200" w:hanging="360"/>
      </w:pPr>
      <w:rPr>
        <w:rFonts w:hint="default"/>
        <w:lang w:val="en-US" w:eastAsia="en-US" w:bidi="ar-SA"/>
      </w:rPr>
    </w:lvl>
    <w:lvl w:ilvl="6" w:tplc="C5ACE4E4">
      <w:numFmt w:val="bullet"/>
      <w:lvlText w:val="•"/>
      <w:lvlJc w:val="left"/>
      <w:pPr>
        <w:ind w:left="3748" w:hanging="360"/>
      </w:pPr>
      <w:rPr>
        <w:rFonts w:hint="default"/>
        <w:lang w:val="en-US" w:eastAsia="en-US" w:bidi="ar-SA"/>
      </w:rPr>
    </w:lvl>
    <w:lvl w:ilvl="7" w:tplc="A68606DA">
      <w:numFmt w:val="bullet"/>
      <w:lvlText w:val="•"/>
      <w:lvlJc w:val="left"/>
      <w:pPr>
        <w:ind w:left="4296" w:hanging="360"/>
      </w:pPr>
      <w:rPr>
        <w:rFonts w:hint="default"/>
        <w:lang w:val="en-US" w:eastAsia="en-US" w:bidi="ar-SA"/>
      </w:rPr>
    </w:lvl>
    <w:lvl w:ilvl="8" w:tplc="4252C03C">
      <w:numFmt w:val="bullet"/>
      <w:lvlText w:val="•"/>
      <w:lvlJc w:val="left"/>
      <w:pPr>
        <w:ind w:left="4844" w:hanging="360"/>
      </w:pPr>
      <w:rPr>
        <w:rFonts w:hint="default"/>
        <w:lang w:val="en-US" w:eastAsia="en-US" w:bidi="ar-SA"/>
      </w:rPr>
    </w:lvl>
  </w:abstractNum>
  <w:abstractNum w:abstractNumId="4" w15:restartNumberingAfterBreak="0">
    <w:nsid w:val="251B3592"/>
    <w:multiLevelType w:val="hybridMultilevel"/>
    <w:tmpl w:val="E5E2A698"/>
    <w:lvl w:ilvl="0" w:tplc="BC8274F2">
      <w:numFmt w:val="bullet"/>
      <w:lvlText w:val=""/>
      <w:lvlJc w:val="left"/>
      <w:pPr>
        <w:ind w:left="807" w:hanging="360"/>
      </w:pPr>
      <w:rPr>
        <w:rFonts w:ascii="Symbol" w:eastAsia="Symbol" w:hAnsi="Symbol" w:cs="Symbol" w:hint="default"/>
        <w:b w:val="0"/>
        <w:bCs w:val="0"/>
        <w:i w:val="0"/>
        <w:iCs w:val="0"/>
        <w:spacing w:val="0"/>
        <w:w w:val="99"/>
        <w:sz w:val="22"/>
        <w:szCs w:val="22"/>
        <w:lang w:val="en-US" w:eastAsia="en-US" w:bidi="ar-SA"/>
      </w:rPr>
    </w:lvl>
    <w:lvl w:ilvl="1" w:tplc="E708AAC4">
      <w:numFmt w:val="bullet"/>
      <w:lvlText w:val="o"/>
      <w:lvlJc w:val="left"/>
      <w:pPr>
        <w:ind w:left="1526" w:hanging="360"/>
      </w:pPr>
      <w:rPr>
        <w:rFonts w:ascii="Courier New" w:eastAsia="Courier New" w:hAnsi="Courier New" w:cs="Courier New" w:hint="default"/>
        <w:b w:val="0"/>
        <w:bCs w:val="0"/>
        <w:i w:val="0"/>
        <w:iCs w:val="0"/>
        <w:spacing w:val="0"/>
        <w:w w:val="99"/>
        <w:sz w:val="22"/>
        <w:szCs w:val="22"/>
        <w:lang w:val="en-US" w:eastAsia="en-US" w:bidi="ar-SA"/>
      </w:rPr>
    </w:lvl>
    <w:lvl w:ilvl="2" w:tplc="CB0E7DEC">
      <w:numFmt w:val="bullet"/>
      <w:lvlText w:val="•"/>
      <w:lvlJc w:val="left"/>
      <w:pPr>
        <w:ind w:left="2500" w:hanging="360"/>
      </w:pPr>
      <w:rPr>
        <w:rFonts w:hint="default"/>
        <w:lang w:val="en-US" w:eastAsia="en-US" w:bidi="ar-SA"/>
      </w:rPr>
    </w:lvl>
    <w:lvl w:ilvl="3" w:tplc="5CF0B748">
      <w:numFmt w:val="bullet"/>
      <w:lvlText w:val="•"/>
      <w:lvlJc w:val="left"/>
      <w:pPr>
        <w:ind w:left="3481" w:hanging="360"/>
      </w:pPr>
      <w:rPr>
        <w:rFonts w:hint="default"/>
        <w:lang w:val="en-US" w:eastAsia="en-US" w:bidi="ar-SA"/>
      </w:rPr>
    </w:lvl>
    <w:lvl w:ilvl="4" w:tplc="B27833E6">
      <w:numFmt w:val="bullet"/>
      <w:lvlText w:val="•"/>
      <w:lvlJc w:val="left"/>
      <w:pPr>
        <w:ind w:left="4462" w:hanging="360"/>
      </w:pPr>
      <w:rPr>
        <w:rFonts w:hint="default"/>
        <w:lang w:val="en-US" w:eastAsia="en-US" w:bidi="ar-SA"/>
      </w:rPr>
    </w:lvl>
    <w:lvl w:ilvl="5" w:tplc="82E29A38">
      <w:numFmt w:val="bullet"/>
      <w:lvlText w:val="•"/>
      <w:lvlJc w:val="left"/>
      <w:pPr>
        <w:ind w:left="5443" w:hanging="360"/>
      </w:pPr>
      <w:rPr>
        <w:rFonts w:hint="default"/>
        <w:lang w:val="en-US" w:eastAsia="en-US" w:bidi="ar-SA"/>
      </w:rPr>
    </w:lvl>
    <w:lvl w:ilvl="6" w:tplc="ED3A901A">
      <w:numFmt w:val="bullet"/>
      <w:lvlText w:val="•"/>
      <w:lvlJc w:val="left"/>
      <w:pPr>
        <w:ind w:left="6424" w:hanging="360"/>
      </w:pPr>
      <w:rPr>
        <w:rFonts w:hint="default"/>
        <w:lang w:val="en-US" w:eastAsia="en-US" w:bidi="ar-SA"/>
      </w:rPr>
    </w:lvl>
    <w:lvl w:ilvl="7" w:tplc="CB0E8742">
      <w:numFmt w:val="bullet"/>
      <w:lvlText w:val="•"/>
      <w:lvlJc w:val="left"/>
      <w:pPr>
        <w:ind w:left="7405" w:hanging="360"/>
      </w:pPr>
      <w:rPr>
        <w:rFonts w:hint="default"/>
        <w:lang w:val="en-US" w:eastAsia="en-US" w:bidi="ar-SA"/>
      </w:rPr>
    </w:lvl>
    <w:lvl w:ilvl="8" w:tplc="52D881C6">
      <w:numFmt w:val="bullet"/>
      <w:lvlText w:val="•"/>
      <w:lvlJc w:val="left"/>
      <w:pPr>
        <w:ind w:left="8386" w:hanging="360"/>
      </w:pPr>
      <w:rPr>
        <w:rFonts w:hint="default"/>
        <w:lang w:val="en-US" w:eastAsia="en-US" w:bidi="ar-SA"/>
      </w:rPr>
    </w:lvl>
  </w:abstractNum>
  <w:abstractNum w:abstractNumId="5" w15:restartNumberingAfterBreak="0">
    <w:nsid w:val="27715794"/>
    <w:multiLevelType w:val="hybridMultilevel"/>
    <w:tmpl w:val="4700567C"/>
    <w:lvl w:ilvl="0" w:tplc="290613EC">
      <w:numFmt w:val="bullet"/>
      <w:lvlText w:val=""/>
      <w:lvlJc w:val="left"/>
      <w:pPr>
        <w:ind w:left="467" w:hanging="360"/>
      </w:pPr>
      <w:rPr>
        <w:rFonts w:ascii="Symbol" w:eastAsia="Symbol" w:hAnsi="Symbol" w:cs="Symbol" w:hint="default"/>
        <w:b w:val="0"/>
        <w:bCs w:val="0"/>
        <w:i w:val="0"/>
        <w:iCs w:val="0"/>
        <w:spacing w:val="0"/>
        <w:w w:val="100"/>
        <w:sz w:val="20"/>
        <w:szCs w:val="20"/>
        <w:lang w:val="en-US" w:eastAsia="en-US" w:bidi="ar-SA"/>
      </w:rPr>
    </w:lvl>
    <w:lvl w:ilvl="1" w:tplc="A1C6ACAA">
      <w:numFmt w:val="bullet"/>
      <w:lvlText w:val="•"/>
      <w:lvlJc w:val="left"/>
      <w:pPr>
        <w:ind w:left="1008" w:hanging="360"/>
      </w:pPr>
      <w:rPr>
        <w:rFonts w:hint="default"/>
        <w:lang w:val="en-US" w:eastAsia="en-US" w:bidi="ar-SA"/>
      </w:rPr>
    </w:lvl>
    <w:lvl w:ilvl="2" w:tplc="A8F65B62">
      <w:numFmt w:val="bullet"/>
      <w:lvlText w:val="•"/>
      <w:lvlJc w:val="left"/>
      <w:pPr>
        <w:ind w:left="1556" w:hanging="360"/>
      </w:pPr>
      <w:rPr>
        <w:rFonts w:hint="default"/>
        <w:lang w:val="en-US" w:eastAsia="en-US" w:bidi="ar-SA"/>
      </w:rPr>
    </w:lvl>
    <w:lvl w:ilvl="3" w:tplc="2968022A">
      <w:numFmt w:val="bullet"/>
      <w:lvlText w:val="•"/>
      <w:lvlJc w:val="left"/>
      <w:pPr>
        <w:ind w:left="2104" w:hanging="360"/>
      </w:pPr>
      <w:rPr>
        <w:rFonts w:hint="default"/>
        <w:lang w:val="en-US" w:eastAsia="en-US" w:bidi="ar-SA"/>
      </w:rPr>
    </w:lvl>
    <w:lvl w:ilvl="4" w:tplc="7C2E58A0">
      <w:numFmt w:val="bullet"/>
      <w:lvlText w:val="•"/>
      <w:lvlJc w:val="left"/>
      <w:pPr>
        <w:ind w:left="2652" w:hanging="360"/>
      </w:pPr>
      <w:rPr>
        <w:rFonts w:hint="default"/>
        <w:lang w:val="en-US" w:eastAsia="en-US" w:bidi="ar-SA"/>
      </w:rPr>
    </w:lvl>
    <w:lvl w:ilvl="5" w:tplc="8ABCD0C4">
      <w:numFmt w:val="bullet"/>
      <w:lvlText w:val="•"/>
      <w:lvlJc w:val="left"/>
      <w:pPr>
        <w:ind w:left="3200" w:hanging="360"/>
      </w:pPr>
      <w:rPr>
        <w:rFonts w:hint="default"/>
        <w:lang w:val="en-US" w:eastAsia="en-US" w:bidi="ar-SA"/>
      </w:rPr>
    </w:lvl>
    <w:lvl w:ilvl="6" w:tplc="6434B27A">
      <w:numFmt w:val="bullet"/>
      <w:lvlText w:val="•"/>
      <w:lvlJc w:val="left"/>
      <w:pPr>
        <w:ind w:left="3748" w:hanging="360"/>
      </w:pPr>
      <w:rPr>
        <w:rFonts w:hint="default"/>
        <w:lang w:val="en-US" w:eastAsia="en-US" w:bidi="ar-SA"/>
      </w:rPr>
    </w:lvl>
    <w:lvl w:ilvl="7" w:tplc="89F64E20">
      <w:numFmt w:val="bullet"/>
      <w:lvlText w:val="•"/>
      <w:lvlJc w:val="left"/>
      <w:pPr>
        <w:ind w:left="4296" w:hanging="360"/>
      </w:pPr>
      <w:rPr>
        <w:rFonts w:hint="default"/>
        <w:lang w:val="en-US" w:eastAsia="en-US" w:bidi="ar-SA"/>
      </w:rPr>
    </w:lvl>
    <w:lvl w:ilvl="8" w:tplc="7788FB62">
      <w:numFmt w:val="bullet"/>
      <w:lvlText w:val="•"/>
      <w:lvlJc w:val="left"/>
      <w:pPr>
        <w:ind w:left="4844" w:hanging="360"/>
      </w:pPr>
      <w:rPr>
        <w:rFonts w:hint="default"/>
        <w:lang w:val="en-US" w:eastAsia="en-US" w:bidi="ar-SA"/>
      </w:rPr>
    </w:lvl>
  </w:abstractNum>
  <w:abstractNum w:abstractNumId="6" w15:restartNumberingAfterBreak="0">
    <w:nsid w:val="293A4066"/>
    <w:multiLevelType w:val="hybridMultilevel"/>
    <w:tmpl w:val="BA2A6E02"/>
    <w:lvl w:ilvl="0" w:tplc="DEECC72E">
      <w:numFmt w:val="bullet"/>
      <w:lvlText w:val=""/>
      <w:lvlJc w:val="left"/>
      <w:pPr>
        <w:ind w:left="467" w:hanging="360"/>
      </w:pPr>
      <w:rPr>
        <w:rFonts w:ascii="Symbol" w:eastAsia="Symbol" w:hAnsi="Symbol" w:cs="Symbol" w:hint="default"/>
        <w:b w:val="0"/>
        <w:bCs w:val="0"/>
        <w:i w:val="0"/>
        <w:iCs w:val="0"/>
        <w:spacing w:val="0"/>
        <w:w w:val="100"/>
        <w:sz w:val="20"/>
        <w:szCs w:val="20"/>
        <w:lang w:val="en-US" w:eastAsia="en-US" w:bidi="ar-SA"/>
      </w:rPr>
    </w:lvl>
    <w:lvl w:ilvl="1" w:tplc="B2A2814C">
      <w:numFmt w:val="bullet"/>
      <w:lvlText w:val="•"/>
      <w:lvlJc w:val="left"/>
      <w:pPr>
        <w:ind w:left="1008" w:hanging="360"/>
      </w:pPr>
      <w:rPr>
        <w:rFonts w:hint="default"/>
        <w:lang w:val="en-US" w:eastAsia="en-US" w:bidi="ar-SA"/>
      </w:rPr>
    </w:lvl>
    <w:lvl w:ilvl="2" w:tplc="DFB22FE6">
      <w:numFmt w:val="bullet"/>
      <w:lvlText w:val="•"/>
      <w:lvlJc w:val="left"/>
      <w:pPr>
        <w:ind w:left="1556" w:hanging="360"/>
      </w:pPr>
      <w:rPr>
        <w:rFonts w:hint="default"/>
        <w:lang w:val="en-US" w:eastAsia="en-US" w:bidi="ar-SA"/>
      </w:rPr>
    </w:lvl>
    <w:lvl w:ilvl="3" w:tplc="D5604AB2">
      <w:numFmt w:val="bullet"/>
      <w:lvlText w:val="•"/>
      <w:lvlJc w:val="left"/>
      <w:pPr>
        <w:ind w:left="2104" w:hanging="360"/>
      </w:pPr>
      <w:rPr>
        <w:rFonts w:hint="default"/>
        <w:lang w:val="en-US" w:eastAsia="en-US" w:bidi="ar-SA"/>
      </w:rPr>
    </w:lvl>
    <w:lvl w:ilvl="4" w:tplc="E7DA3CAE">
      <w:numFmt w:val="bullet"/>
      <w:lvlText w:val="•"/>
      <w:lvlJc w:val="left"/>
      <w:pPr>
        <w:ind w:left="2652" w:hanging="360"/>
      </w:pPr>
      <w:rPr>
        <w:rFonts w:hint="default"/>
        <w:lang w:val="en-US" w:eastAsia="en-US" w:bidi="ar-SA"/>
      </w:rPr>
    </w:lvl>
    <w:lvl w:ilvl="5" w:tplc="333617AA">
      <w:numFmt w:val="bullet"/>
      <w:lvlText w:val="•"/>
      <w:lvlJc w:val="left"/>
      <w:pPr>
        <w:ind w:left="3200" w:hanging="360"/>
      </w:pPr>
      <w:rPr>
        <w:rFonts w:hint="default"/>
        <w:lang w:val="en-US" w:eastAsia="en-US" w:bidi="ar-SA"/>
      </w:rPr>
    </w:lvl>
    <w:lvl w:ilvl="6" w:tplc="1BF4ACB6">
      <w:numFmt w:val="bullet"/>
      <w:lvlText w:val="•"/>
      <w:lvlJc w:val="left"/>
      <w:pPr>
        <w:ind w:left="3748" w:hanging="360"/>
      </w:pPr>
      <w:rPr>
        <w:rFonts w:hint="default"/>
        <w:lang w:val="en-US" w:eastAsia="en-US" w:bidi="ar-SA"/>
      </w:rPr>
    </w:lvl>
    <w:lvl w:ilvl="7" w:tplc="3AD68508">
      <w:numFmt w:val="bullet"/>
      <w:lvlText w:val="•"/>
      <w:lvlJc w:val="left"/>
      <w:pPr>
        <w:ind w:left="4296" w:hanging="360"/>
      </w:pPr>
      <w:rPr>
        <w:rFonts w:hint="default"/>
        <w:lang w:val="en-US" w:eastAsia="en-US" w:bidi="ar-SA"/>
      </w:rPr>
    </w:lvl>
    <w:lvl w:ilvl="8" w:tplc="0CCE768C">
      <w:numFmt w:val="bullet"/>
      <w:lvlText w:val="•"/>
      <w:lvlJc w:val="left"/>
      <w:pPr>
        <w:ind w:left="4844" w:hanging="360"/>
      </w:pPr>
      <w:rPr>
        <w:rFonts w:hint="default"/>
        <w:lang w:val="en-US" w:eastAsia="en-US" w:bidi="ar-SA"/>
      </w:rPr>
    </w:lvl>
  </w:abstractNum>
  <w:abstractNum w:abstractNumId="7" w15:restartNumberingAfterBreak="0">
    <w:nsid w:val="29C34AA5"/>
    <w:multiLevelType w:val="hybridMultilevel"/>
    <w:tmpl w:val="9DFE9332"/>
    <w:lvl w:ilvl="0" w:tplc="8C1A677C">
      <w:numFmt w:val="bullet"/>
      <w:lvlText w:val=""/>
      <w:lvlJc w:val="left"/>
      <w:pPr>
        <w:ind w:left="467" w:hanging="360"/>
      </w:pPr>
      <w:rPr>
        <w:rFonts w:ascii="Symbol" w:eastAsia="Symbol" w:hAnsi="Symbol" w:cs="Symbol" w:hint="default"/>
        <w:b w:val="0"/>
        <w:bCs w:val="0"/>
        <w:i w:val="0"/>
        <w:iCs w:val="0"/>
        <w:spacing w:val="0"/>
        <w:w w:val="100"/>
        <w:sz w:val="20"/>
        <w:szCs w:val="20"/>
        <w:lang w:val="en-US" w:eastAsia="en-US" w:bidi="ar-SA"/>
      </w:rPr>
    </w:lvl>
    <w:lvl w:ilvl="1" w:tplc="7CAC7902">
      <w:numFmt w:val="bullet"/>
      <w:lvlText w:val="•"/>
      <w:lvlJc w:val="left"/>
      <w:pPr>
        <w:ind w:left="1008" w:hanging="360"/>
      </w:pPr>
      <w:rPr>
        <w:rFonts w:hint="default"/>
        <w:lang w:val="en-US" w:eastAsia="en-US" w:bidi="ar-SA"/>
      </w:rPr>
    </w:lvl>
    <w:lvl w:ilvl="2" w:tplc="A9A0C8A0">
      <w:numFmt w:val="bullet"/>
      <w:lvlText w:val="•"/>
      <w:lvlJc w:val="left"/>
      <w:pPr>
        <w:ind w:left="1556" w:hanging="360"/>
      </w:pPr>
      <w:rPr>
        <w:rFonts w:hint="default"/>
        <w:lang w:val="en-US" w:eastAsia="en-US" w:bidi="ar-SA"/>
      </w:rPr>
    </w:lvl>
    <w:lvl w:ilvl="3" w:tplc="18782A7A">
      <w:numFmt w:val="bullet"/>
      <w:lvlText w:val="•"/>
      <w:lvlJc w:val="left"/>
      <w:pPr>
        <w:ind w:left="2104" w:hanging="360"/>
      </w:pPr>
      <w:rPr>
        <w:rFonts w:hint="default"/>
        <w:lang w:val="en-US" w:eastAsia="en-US" w:bidi="ar-SA"/>
      </w:rPr>
    </w:lvl>
    <w:lvl w:ilvl="4" w:tplc="0714FF48">
      <w:numFmt w:val="bullet"/>
      <w:lvlText w:val="•"/>
      <w:lvlJc w:val="left"/>
      <w:pPr>
        <w:ind w:left="2652" w:hanging="360"/>
      </w:pPr>
      <w:rPr>
        <w:rFonts w:hint="default"/>
        <w:lang w:val="en-US" w:eastAsia="en-US" w:bidi="ar-SA"/>
      </w:rPr>
    </w:lvl>
    <w:lvl w:ilvl="5" w:tplc="2370F252">
      <w:numFmt w:val="bullet"/>
      <w:lvlText w:val="•"/>
      <w:lvlJc w:val="left"/>
      <w:pPr>
        <w:ind w:left="3200" w:hanging="360"/>
      </w:pPr>
      <w:rPr>
        <w:rFonts w:hint="default"/>
        <w:lang w:val="en-US" w:eastAsia="en-US" w:bidi="ar-SA"/>
      </w:rPr>
    </w:lvl>
    <w:lvl w:ilvl="6" w:tplc="B46C1042">
      <w:numFmt w:val="bullet"/>
      <w:lvlText w:val="•"/>
      <w:lvlJc w:val="left"/>
      <w:pPr>
        <w:ind w:left="3748" w:hanging="360"/>
      </w:pPr>
      <w:rPr>
        <w:rFonts w:hint="default"/>
        <w:lang w:val="en-US" w:eastAsia="en-US" w:bidi="ar-SA"/>
      </w:rPr>
    </w:lvl>
    <w:lvl w:ilvl="7" w:tplc="1BC483BA">
      <w:numFmt w:val="bullet"/>
      <w:lvlText w:val="•"/>
      <w:lvlJc w:val="left"/>
      <w:pPr>
        <w:ind w:left="4296" w:hanging="360"/>
      </w:pPr>
      <w:rPr>
        <w:rFonts w:hint="default"/>
        <w:lang w:val="en-US" w:eastAsia="en-US" w:bidi="ar-SA"/>
      </w:rPr>
    </w:lvl>
    <w:lvl w:ilvl="8" w:tplc="E26C01CA">
      <w:numFmt w:val="bullet"/>
      <w:lvlText w:val="•"/>
      <w:lvlJc w:val="left"/>
      <w:pPr>
        <w:ind w:left="4844" w:hanging="360"/>
      </w:pPr>
      <w:rPr>
        <w:rFonts w:hint="default"/>
        <w:lang w:val="en-US" w:eastAsia="en-US" w:bidi="ar-SA"/>
      </w:rPr>
    </w:lvl>
  </w:abstractNum>
  <w:abstractNum w:abstractNumId="8" w15:restartNumberingAfterBreak="0">
    <w:nsid w:val="2ABC2BFE"/>
    <w:multiLevelType w:val="hybridMultilevel"/>
    <w:tmpl w:val="BA1A0724"/>
    <w:lvl w:ilvl="0" w:tplc="2A14B590">
      <w:numFmt w:val="bullet"/>
      <w:lvlText w:val=""/>
      <w:lvlJc w:val="left"/>
      <w:pPr>
        <w:ind w:left="467" w:hanging="360"/>
      </w:pPr>
      <w:rPr>
        <w:rFonts w:ascii="Symbol" w:eastAsia="Symbol" w:hAnsi="Symbol" w:cs="Symbol" w:hint="default"/>
        <w:b w:val="0"/>
        <w:bCs w:val="0"/>
        <w:i w:val="0"/>
        <w:iCs w:val="0"/>
        <w:spacing w:val="0"/>
        <w:w w:val="100"/>
        <w:sz w:val="20"/>
        <w:szCs w:val="20"/>
        <w:lang w:val="en-US" w:eastAsia="en-US" w:bidi="ar-SA"/>
      </w:rPr>
    </w:lvl>
    <w:lvl w:ilvl="1" w:tplc="03A094B2">
      <w:numFmt w:val="bullet"/>
      <w:lvlText w:val="•"/>
      <w:lvlJc w:val="left"/>
      <w:pPr>
        <w:ind w:left="1008" w:hanging="360"/>
      </w:pPr>
      <w:rPr>
        <w:rFonts w:hint="default"/>
        <w:lang w:val="en-US" w:eastAsia="en-US" w:bidi="ar-SA"/>
      </w:rPr>
    </w:lvl>
    <w:lvl w:ilvl="2" w:tplc="0EBA6966">
      <w:numFmt w:val="bullet"/>
      <w:lvlText w:val="•"/>
      <w:lvlJc w:val="left"/>
      <w:pPr>
        <w:ind w:left="1556" w:hanging="360"/>
      </w:pPr>
      <w:rPr>
        <w:rFonts w:hint="default"/>
        <w:lang w:val="en-US" w:eastAsia="en-US" w:bidi="ar-SA"/>
      </w:rPr>
    </w:lvl>
    <w:lvl w:ilvl="3" w:tplc="D3AC099C">
      <w:numFmt w:val="bullet"/>
      <w:lvlText w:val="•"/>
      <w:lvlJc w:val="left"/>
      <w:pPr>
        <w:ind w:left="2104" w:hanging="360"/>
      </w:pPr>
      <w:rPr>
        <w:rFonts w:hint="default"/>
        <w:lang w:val="en-US" w:eastAsia="en-US" w:bidi="ar-SA"/>
      </w:rPr>
    </w:lvl>
    <w:lvl w:ilvl="4" w:tplc="1A3CF734">
      <w:numFmt w:val="bullet"/>
      <w:lvlText w:val="•"/>
      <w:lvlJc w:val="left"/>
      <w:pPr>
        <w:ind w:left="2652" w:hanging="360"/>
      </w:pPr>
      <w:rPr>
        <w:rFonts w:hint="default"/>
        <w:lang w:val="en-US" w:eastAsia="en-US" w:bidi="ar-SA"/>
      </w:rPr>
    </w:lvl>
    <w:lvl w:ilvl="5" w:tplc="1826C4D6">
      <w:numFmt w:val="bullet"/>
      <w:lvlText w:val="•"/>
      <w:lvlJc w:val="left"/>
      <w:pPr>
        <w:ind w:left="3200" w:hanging="360"/>
      </w:pPr>
      <w:rPr>
        <w:rFonts w:hint="default"/>
        <w:lang w:val="en-US" w:eastAsia="en-US" w:bidi="ar-SA"/>
      </w:rPr>
    </w:lvl>
    <w:lvl w:ilvl="6" w:tplc="EA6E1B44">
      <w:numFmt w:val="bullet"/>
      <w:lvlText w:val="•"/>
      <w:lvlJc w:val="left"/>
      <w:pPr>
        <w:ind w:left="3748" w:hanging="360"/>
      </w:pPr>
      <w:rPr>
        <w:rFonts w:hint="default"/>
        <w:lang w:val="en-US" w:eastAsia="en-US" w:bidi="ar-SA"/>
      </w:rPr>
    </w:lvl>
    <w:lvl w:ilvl="7" w:tplc="588450E4">
      <w:numFmt w:val="bullet"/>
      <w:lvlText w:val="•"/>
      <w:lvlJc w:val="left"/>
      <w:pPr>
        <w:ind w:left="4296" w:hanging="360"/>
      </w:pPr>
      <w:rPr>
        <w:rFonts w:hint="default"/>
        <w:lang w:val="en-US" w:eastAsia="en-US" w:bidi="ar-SA"/>
      </w:rPr>
    </w:lvl>
    <w:lvl w:ilvl="8" w:tplc="CEB0CA7C">
      <w:numFmt w:val="bullet"/>
      <w:lvlText w:val="•"/>
      <w:lvlJc w:val="left"/>
      <w:pPr>
        <w:ind w:left="4844" w:hanging="360"/>
      </w:pPr>
      <w:rPr>
        <w:rFonts w:hint="default"/>
        <w:lang w:val="en-US" w:eastAsia="en-US" w:bidi="ar-SA"/>
      </w:rPr>
    </w:lvl>
  </w:abstractNum>
  <w:abstractNum w:abstractNumId="9" w15:restartNumberingAfterBreak="0">
    <w:nsid w:val="2C6310E3"/>
    <w:multiLevelType w:val="hybridMultilevel"/>
    <w:tmpl w:val="F118A9CC"/>
    <w:lvl w:ilvl="0" w:tplc="822C4E76">
      <w:numFmt w:val="bullet"/>
      <w:lvlText w:val=""/>
      <w:lvlJc w:val="left"/>
      <w:pPr>
        <w:ind w:left="827" w:hanging="360"/>
      </w:pPr>
      <w:rPr>
        <w:rFonts w:ascii="Symbol" w:eastAsia="Symbol" w:hAnsi="Symbol" w:cs="Symbol" w:hint="default"/>
        <w:b w:val="0"/>
        <w:bCs w:val="0"/>
        <w:i w:val="0"/>
        <w:iCs w:val="0"/>
        <w:spacing w:val="0"/>
        <w:w w:val="99"/>
        <w:sz w:val="22"/>
        <w:szCs w:val="22"/>
        <w:lang w:val="en-US" w:eastAsia="en-US" w:bidi="ar-SA"/>
      </w:rPr>
    </w:lvl>
    <w:lvl w:ilvl="1" w:tplc="5456BC22">
      <w:numFmt w:val="bullet"/>
      <w:lvlText w:val="•"/>
      <w:lvlJc w:val="left"/>
      <w:pPr>
        <w:ind w:left="1553" w:hanging="360"/>
      </w:pPr>
      <w:rPr>
        <w:rFonts w:hint="default"/>
        <w:lang w:val="en-US" w:eastAsia="en-US" w:bidi="ar-SA"/>
      </w:rPr>
    </w:lvl>
    <w:lvl w:ilvl="2" w:tplc="DCAEC344">
      <w:numFmt w:val="bullet"/>
      <w:lvlText w:val="•"/>
      <w:lvlJc w:val="left"/>
      <w:pPr>
        <w:ind w:left="2287" w:hanging="360"/>
      </w:pPr>
      <w:rPr>
        <w:rFonts w:hint="default"/>
        <w:lang w:val="en-US" w:eastAsia="en-US" w:bidi="ar-SA"/>
      </w:rPr>
    </w:lvl>
    <w:lvl w:ilvl="3" w:tplc="96942768">
      <w:numFmt w:val="bullet"/>
      <w:lvlText w:val="•"/>
      <w:lvlJc w:val="left"/>
      <w:pPr>
        <w:ind w:left="3021" w:hanging="360"/>
      </w:pPr>
      <w:rPr>
        <w:rFonts w:hint="default"/>
        <w:lang w:val="en-US" w:eastAsia="en-US" w:bidi="ar-SA"/>
      </w:rPr>
    </w:lvl>
    <w:lvl w:ilvl="4" w:tplc="487C31E4">
      <w:numFmt w:val="bullet"/>
      <w:lvlText w:val="•"/>
      <w:lvlJc w:val="left"/>
      <w:pPr>
        <w:ind w:left="3755" w:hanging="360"/>
      </w:pPr>
      <w:rPr>
        <w:rFonts w:hint="default"/>
        <w:lang w:val="en-US" w:eastAsia="en-US" w:bidi="ar-SA"/>
      </w:rPr>
    </w:lvl>
    <w:lvl w:ilvl="5" w:tplc="4EF0E53E">
      <w:numFmt w:val="bullet"/>
      <w:lvlText w:val="•"/>
      <w:lvlJc w:val="left"/>
      <w:pPr>
        <w:ind w:left="4489" w:hanging="360"/>
      </w:pPr>
      <w:rPr>
        <w:rFonts w:hint="default"/>
        <w:lang w:val="en-US" w:eastAsia="en-US" w:bidi="ar-SA"/>
      </w:rPr>
    </w:lvl>
    <w:lvl w:ilvl="6" w:tplc="046880CE">
      <w:numFmt w:val="bullet"/>
      <w:lvlText w:val="•"/>
      <w:lvlJc w:val="left"/>
      <w:pPr>
        <w:ind w:left="5223" w:hanging="360"/>
      </w:pPr>
      <w:rPr>
        <w:rFonts w:hint="default"/>
        <w:lang w:val="en-US" w:eastAsia="en-US" w:bidi="ar-SA"/>
      </w:rPr>
    </w:lvl>
    <w:lvl w:ilvl="7" w:tplc="F54E67DA">
      <w:numFmt w:val="bullet"/>
      <w:lvlText w:val="•"/>
      <w:lvlJc w:val="left"/>
      <w:pPr>
        <w:ind w:left="5957" w:hanging="360"/>
      </w:pPr>
      <w:rPr>
        <w:rFonts w:hint="default"/>
        <w:lang w:val="en-US" w:eastAsia="en-US" w:bidi="ar-SA"/>
      </w:rPr>
    </w:lvl>
    <w:lvl w:ilvl="8" w:tplc="7578092C">
      <w:numFmt w:val="bullet"/>
      <w:lvlText w:val="•"/>
      <w:lvlJc w:val="left"/>
      <w:pPr>
        <w:ind w:left="6691" w:hanging="360"/>
      </w:pPr>
      <w:rPr>
        <w:rFonts w:hint="default"/>
        <w:lang w:val="en-US" w:eastAsia="en-US" w:bidi="ar-SA"/>
      </w:rPr>
    </w:lvl>
  </w:abstractNum>
  <w:abstractNum w:abstractNumId="10" w15:restartNumberingAfterBreak="0">
    <w:nsid w:val="2DD6322F"/>
    <w:multiLevelType w:val="hybridMultilevel"/>
    <w:tmpl w:val="EF46E65E"/>
    <w:lvl w:ilvl="0" w:tplc="61989334">
      <w:numFmt w:val="bullet"/>
      <w:lvlText w:val=""/>
      <w:lvlJc w:val="left"/>
      <w:pPr>
        <w:ind w:left="827" w:hanging="360"/>
      </w:pPr>
      <w:rPr>
        <w:rFonts w:ascii="Symbol" w:eastAsia="Symbol" w:hAnsi="Symbol" w:cs="Symbol" w:hint="default"/>
        <w:b w:val="0"/>
        <w:bCs w:val="0"/>
        <w:i w:val="0"/>
        <w:iCs w:val="0"/>
        <w:spacing w:val="0"/>
        <w:w w:val="99"/>
        <w:sz w:val="22"/>
        <w:szCs w:val="22"/>
        <w:lang w:val="en-US" w:eastAsia="en-US" w:bidi="ar-SA"/>
      </w:rPr>
    </w:lvl>
    <w:lvl w:ilvl="1" w:tplc="B276F1D6">
      <w:numFmt w:val="bullet"/>
      <w:lvlText w:val="•"/>
      <w:lvlJc w:val="left"/>
      <w:pPr>
        <w:ind w:left="1553" w:hanging="360"/>
      </w:pPr>
      <w:rPr>
        <w:rFonts w:hint="default"/>
        <w:lang w:val="en-US" w:eastAsia="en-US" w:bidi="ar-SA"/>
      </w:rPr>
    </w:lvl>
    <w:lvl w:ilvl="2" w:tplc="60F4DF86">
      <w:numFmt w:val="bullet"/>
      <w:lvlText w:val="•"/>
      <w:lvlJc w:val="left"/>
      <w:pPr>
        <w:ind w:left="2287" w:hanging="360"/>
      </w:pPr>
      <w:rPr>
        <w:rFonts w:hint="default"/>
        <w:lang w:val="en-US" w:eastAsia="en-US" w:bidi="ar-SA"/>
      </w:rPr>
    </w:lvl>
    <w:lvl w:ilvl="3" w:tplc="D0FE5334">
      <w:numFmt w:val="bullet"/>
      <w:lvlText w:val="•"/>
      <w:lvlJc w:val="left"/>
      <w:pPr>
        <w:ind w:left="3021" w:hanging="360"/>
      </w:pPr>
      <w:rPr>
        <w:rFonts w:hint="default"/>
        <w:lang w:val="en-US" w:eastAsia="en-US" w:bidi="ar-SA"/>
      </w:rPr>
    </w:lvl>
    <w:lvl w:ilvl="4" w:tplc="685AD7C2">
      <w:numFmt w:val="bullet"/>
      <w:lvlText w:val="•"/>
      <w:lvlJc w:val="left"/>
      <w:pPr>
        <w:ind w:left="3755" w:hanging="360"/>
      </w:pPr>
      <w:rPr>
        <w:rFonts w:hint="default"/>
        <w:lang w:val="en-US" w:eastAsia="en-US" w:bidi="ar-SA"/>
      </w:rPr>
    </w:lvl>
    <w:lvl w:ilvl="5" w:tplc="CEC284E0">
      <w:numFmt w:val="bullet"/>
      <w:lvlText w:val="•"/>
      <w:lvlJc w:val="left"/>
      <w:pPr>
        <w:ind w:left="4489" w:hanging="360"/>
      </w:pPr>
      <w:rPr>
        <w:rFonts w:hint="default"/>
        <w:lang w:val="en-US" w:eastAsia="en-US" w:bidi="ar-SA"/>
      </w:rPr>
    </w:lvl>
    <w:lvl w:ilvl="6" w:tplc="F588151A">
      <w:numFmt w:val="bullet"/>
      <w:lvlText w:val="•"/>
      <w:lvlJc w:val="left"/>
      <w:pPr>
        <w:ind w:left="5223" w:hanging="360"/>
      </w:pPr>
      <w:rPr>
        <w:rFonts w:hint="default"/>
        <w:lang w:val="en-US" w:eastAsia="en-US" w:bidi="ar-SA"/>
      </w:rPr>
    </w:lvl>
    <w:lvl w:ilvl="7" w:tplc="0E288C24">
      <w:numFmt w:val="bullet"/>
      <w:lvlText w:val="•"/>
      <w:lvlJc w:val="left"/>
      <w:pPr>
        <w:ind w:left="5957" w:hanging="360"/>
      </w:pPr>
      <w:rPr>
        <w:rFonts w:hint="default"/>
        <w:lang w:val="en-US" w:eastAsia="en-US" w:bidi="ar-SA"/>
      </w:rPr>
    </w:lvl>
    <w:lvl w:ilvl="8" w:tplc="CECAC81A">
      <w:numFmt w:val="bullet"/>
      <w:lvlText w:val="•"/>
      <w:lvlJc w:val="left"/>
      <w:pPr>
        <w:ind w:left="6691" w:hanging="360"/>
      </w:pPr>
      <w:rPr>
        <w:rFonts w:hint="default"/>
        <w:lang w:val="en-US" w:eastAsia="en-US" w:bidi="ar-SA"/>
      </w:rPr>
    </w:lvl>
  </w:abstractNum>
  <w:abstractNum w:abstractNumId="11" w15:restartNumberingAfterBreak="0">
    <w:nsid w:val="2F33651E"/>
    <w:multiLevelType w:val="hybridMultilevel"/>
    <w:tmpl w:val="093EF14C"/>
    <w:lvl w:ilvl="0" w:tplc="8954DAEA">
      <w:numFmt w:val="bullet"/>
      <w:lvlText w:val=""/>
      <w:lvlJc w:val="left"/>
      <w:pPr>
        <w:ind w:left="1234" w:hanging="360"/>
      </w:pPr>
      <w:rPr>
        <w:rFonts w:ascii="Wingdings" w:eastAsia="Wingdings" w:hAnsi="Wingdings" w:cs="Wingdings" w:hint="default"/>
        <w:b w:val="0"/>
        <w:bCs w:val="0"/>
        <w:i w:val="0"/>
        <w:iCs w:val="0"/>
        <w:spacing w:val="0"/>
        <w:w w:val="99"/>
        <w:sz w:val="22"/>
        <w:szCs w:val="22"/>
        <w:lang w:val="en-US" w:eastAsia="en-US" w:bidi="ar-SA"/>
      </w:rPr>
    </w:lvl>
    <w:lvl w:ilvl="1" w:tplc="FD765BB2">
      <w:numFmt w:val="bullet"/>
      <w:lvlText w:val="o"/>
      <w:lvlJc w:val="left"/>
      <w:pPr>
        <w:ind w:left="1582" w:hanging="360"/>
      </w:pPr>
      <w:rPr>
        <w:rFonts w:ascii="Courier New" w:eastAsia="Courier New" w:hAnsi="Courier New" w:cs="Courier New" w:hint="default"/>
        <w:b w:val="0"/>
        <w:bCs w:val="0"/>
        <w:i w:val="0"/>
        <w:iCs w:val="0"/>
        <w:spacing w:val="0"/>
        <w:w w:val="99"/>
        <w:sz w:val="22"/>
        <w:szCs w:val="22"/>
        <w:lang w:val="en-US" w:eastAsia="en-US" w:bidi="ar-SA"/>
      </w:rPr>
    </w:lvl>
    <w:lvl w:ilvl="2" w:tplc="1554966E">
      <w:numFmt w:val="bullet"/>
      <w:lvlText w:val="•"/>
      <w:lvlJc w:val="left"/>
      <w:pPr>
        <w:ind w:left="2554" w:hanging="360"/>
      </w:pPr>
      <w:rPr>
        <w:rFonts w:hint="default"/>
        <w:lang w:val="en-US" w:eastAsia="en-US" w:bidi="ar-SA"/>
      </w:rPr>
    </w:lvl>
    <w:lvl w:ilvl="3" w:tplc="A05EE7E6">
      <w:numFmt w:val="bullet"/>
      <w:lvlText w:val="•"/>
      <w:lvlJc w:val="left"/>
      <w:pPr>
        <w:ind w:left="3528" w:hanging="360"/>
      </w:pPr>
      <w:rPr>
        <w:rFonts w:hint="default"/>
        <w:lang w:val="en-US" w:eastAsia="en-US" w:bidi="ar-SA"/>
      </w:rPr>
    </w:lvl>
    <w:lvl w:ilvl="4" w:tplc="2A4E6C36">
      <w:numFmt w:val="bullet"/>
      <w:lvlText w:val="•"/>
      <w:lvlJc w:val="left"/>
      <w:pPr>
        <w:ind w:left="4502" w:hanging="360"/>
      </w:pPr>
      <w:rPr>
        <w:rFonts w:hint="default"/>
        <w:lang w:val="en-US" w:eastAsia="en-US" w:bidi="ar-SA"/>
      </w:rPr>
    </w:lvl>
    <w:lvl w:ilvl="5" w:tplc="F1E0DB84">
      <w:numFmt w:val="bullet"/>
      <w:lvlText w:val="•"/>
      <w:lvlJc w:val="left"/>
      <w:pPr>
        <w:ind w:left="5477" w:hanging="360"/>
      </w:pPr>
      <w:rPr>
        <w:rFonts w:hint="default"/>
        <w:lang w:val="en-US" w:eastAsia="en-US" w:bidi="ar-SA"/>
      </w:rPr>
    </w:lvl>
    <w:lvl w:ilvl="6" w:tplc="11CE9250">
      <w:numFmt w:val="bullet"/>
      <w:lvlText w:val="•"/>
      <w:lvlJc w:val="left"/>
      <w:pPr>
        <w:ind w:left="6451" w:hanging="360"/>
      </w:pPr>
      <w:rPr>
        <w:rFonts w:hint="default"/>
        <w:lang w:val="en-US" w:eastAsia="en-US" w:bidi="ar-SA"/>
      </w:rPr>
    </w:lvl>
    <w:lvl w:ilvl="7" w:tplc="ABD4806A">
      <w:numFmt w:val="bullet"/>
      <w:lvlText w:val="•"/>
      <w:lvlJc w:val="left"/>
      <w:pPr>
        <w:ind w:left="7425" w:hanging="360"/>
      </w:pPr>
      <w:rPr>
        <w:rFonts w:hint="default"/>
        <w:lang w:val="en-US" w:eastAsia="en-US" w:bidi="ar-SA"/>
      </w:rPr>
    </w:lvl>
    <w:lvl w:ilvl="8" w:tplc="08D67550">
      <w:numFmt w:val="bullet"/>
      <w:lvlText w:val="•"/>
      <w:lvlJc w:val="left"/>
      <w:pPr>
        <w:ind w:left="8399" w:hanging="360"/>
      </w:pPr>
      <w:rPr>
        <w:rFonts w:hint="default"/>
        <w:lang w:val="en-US" w:eastAsia="en-US" w:bidi="ar-SA"/>
      </w:rPr>
    </w:lvl>
  </w:abstractNum>
  <w:abstractNum w:abstractNumId="12" w15:restartNumberingAfterBreak="0">
    <w:nsid w:val="34596B3C"/>
    <w:multiLevelType w:val="hybridMultilevel"/>
    <w:tmpl w:val="36AA64C2"/>
    <w:lvl w:ilvl="0" w:tplc="FEE8B41C">
      <w:numFmt w:val="bullet"/>
      <w:lvlText w:val=""/>
      <w:lvlJc w:val="left"/>
      <w:pPr>
        <w:ind w:left="467" w:hanging="360"/>
      </w:pPr>
      <w:rPr>
        <w:rFonts w:ascii="Symbol" w:eastAsia="Symbol" w:hAnsi="Symbol" w:cs="Symbol" w:hint="default"/>
        <w:b w:val="0"/>
        <w:bCs w:val="0"/>
        <w:i w:val="0"/>
        <w:iCs w:val="0"/>
        <w:spacing w:val="0"/>
        <w:w w:val="100"/>
        <w:sz w:val="20"/>
        <w:szCs w:val="20"/>
        <w:lang w:val="en-US" w:eastAsia="en-US" w:bidi="ar-SA"/>
      </w:rPr>
    </w:lvl>
    <w:lvl w:ilvl="1" w:tplc="2CBCACFE">
      <w:numFmt w:val="bullet"/>
      <w:lvlText w:val="•"/>
      <w:lvlJc w:val="left"/>
      <w:pPr>
        <w:ind w:left="1008" w:hanging="360"/>
      </w:pPr>
      <w:rPr>
        <w:rFonts w:hint="default"/>
        <w:lang w:val="en-US" w:eastAsia="en-US" w:bidi="ar-SA"/>
      </w:rPr>
    </w:lvl>
    <w:lvl w:ilvl="2" w:tplc="20C81010">
      <w:numFmt w:val="bullet"/>
      <w:lvlText w:val="•"/>
      <w:lvlJc w:val="left"/>
      <w:pPr>
        <w:ind w:left="1556" w:hanging="360"/>
      </w:pPr>
      <w:rPr>
        <w:rFonts w:hint="default"/>
        <w:lang w:val="en-US" w:eastAsia="en-US" w:bidi="ar-SA"/>
      </w:rPr>
    </w:lvl>
    <w:lvl w:ilvl="3" w:tplc="7C821EBC">
      <w:numFmt w:val="bullet"/>
      <w:lvlText w:val="•"/>
      <w:lvlJc w:val="left"/>
      <w:pPr>
        <w:ind w:left="2104" w:hanging="360"/>
      </w:pPr>
      <w:rPr>
        <w:rFonts w:hint="default"/>
        <w:lang w:val="en-US" w:eastAsia="en-US" w:bidi="ar-SA"/>
      </w:rPr>
    </w:lvl>
    <w:lvl w:ilvl="4" w:tplc="547C9C58">
      <w:numFmt w:val="bullet"/>
      <w:lvlText w:val="•"/>
      <w:lvlJc w:val="left"/>
      <w:pPr>
        <w:ind w:left="2652" w:hanging="360"/>
      </w:pPr>
      <w:rPr>
        <w:rFonts w:hint="default"/>
        <w:lang w:val="en-US" w:eastAsia="en-US" w:bidi="ar-SA"/>
      </w:rPr>
    </w:lvl>
    <w:lvl w:ilvl="5" w:tplc="72D84B5E">
      <w:numFmt w:val="bullet"/>
      <w:lvlText w:val="•"/>
      <w:lvlJc w:val="left"/>
      <w:pPr>
        <w:ind w:left="3200" w:hanging="360"/>
      </w:pPr>
      <w:rPr>
        <w:rFonts w:hint="default"/>
        <w:lang w:val="en-US" w:eastAsia="en-US" w:bidi="ar-SA"/>
      </w:rPr>
    </w:lvl>
    <w:lvl w:ilvl="6" w:tplc="E9B21418">
      <w:numFmt w:val="bullet"/>
      <w:lvlText w:val="•"/>
      <w:lvlJc w:val="left"/>
      <w:pPr>
        <w:ind w:left="3748" w:hanging="360"/>
      </w:pPr>
      <w:rPr>
        <w:rFonts w:hint="default"/>
        <w:lang w:val="en-US" w:eastAsia="en-US" w:bidi="ar-SA"/>
      </w:rPr>
    </w:lvl>
    <w:lvl w:ilvl="7" w:tplc="57C44BE4">
      <w:numFmt w:val="bullet"/>
      <w:lvlText w:val="•"/>
      <w:lvlJc w:val="left"/>
      <w:pPr>
        <w:ind w:left="4296" w:hanging="360"/>
      </w:pPr>
      <w:rPr>
        <w:rFonts w:hint="default"/>
        <w:lang w:val="en-US" w:eastAsia="en-US" w:bidi="ar-SA"/>
      </w:rPr>
    </w:lvl>
    <w:lvl w:ilvl="8" w:tplc="CCB25DFE">
      <w:numFmt w:val="bullet"/>
      <w:lvlText w:val="•"/>
      <w:lvlJc w:val="left"/>
      <w:pPr>
        <w:ind w:left="4844" w:hanging="360"/>
      </w:pPr>
      <w:rPr>
        <w:rFonts w:hint="default"/>
        <w:lang w:val="en-US" w:eastAsia="en-US" w:bidi="ar-SA"/>
      </w:rPr>
    </w:lvl>
  </w:abstractNum>
  <w:abstractNum w:abstractNumId="13" w15:restartNumberingAfterBreak="0">
    <w:nsid w:val="3B932E19"/>
    <w:multiLevelType w:val="hybridMultilevel"/>
    <w:tmpl w:val="66BCC13E"/>
    <w:lvl w:ilvl="0" w:tplc="1F62564C">
      <w:numFmt w:val="bullet"/>
      <w:lvlText w:val=""/>
      <w:lvlJc w:val="left"/>
      <w:pPr>
        <w:ind w:left="467" w:hanging="360"/>
      </w:pPr>
      <w:rPr>
        <w:rFonts w:ascii="Symbol" w:eastAsia="Symbol" w:hAnsi="Symbol" w:cs="Symbol" w:hint="default"/>
        <w:b w:val="0"/>
        <w:bCs w:val="0"/>
        <w:i w:val="0"/>
        <w:iCs w:val="0"/>
        <w:spacing w:val="0"/>
        <w:w w:val="100"/>
        <w:sz w:val="20"/>
        <w:szCs w:val="20"/>
        <w:lang w:val="en-US" w:eastAsia="en-US" w:bidi="ar-SA"/>
      </w:rPr>
    </w:lvl>
    <w:lvl w:ilvl="1" w:tplc="0A084A14">
      <w:numFmt w:val="bullet"/>
      <w:lvlText w:val="•"/>
      <w:lvlJc w:val="left"/>
      <w:pPr>
        <w:ind w:left="1008" w:hanging="360"/>
      </w:pPr>
      <w:rPr>
        <w:rFonts w:hint="default"/>
        <w:lang w:val="en-US" w:eastAsia="en-US" w:bidi="ar-SA"/>
      </w:rPr>
    </w:lvl>
    <w:lvl w:ilvl="2" w:tplc="5EF43CB2">
      <w:numFmt w:val="bullet"/>
      <w:lvlText w:val="•"/>
      <w:lvlJc w:val="left"/>
      <w:pPr>
        <w:ind w:left="1556" w:hanging="360"/>
      </w:pPr>
      <w:rPr>
        <w:rFonts w:hint="default"/>
        <w:lang w:val="en-US" w:eastAsia="en-US" w:bidi="ar-SA"/>
      </w:rPr>
    </w:lvl>
    <w:lvl w:ilvl="3" w:tplc="068A3C9A">
      <w:numFmt w:val="bullet"/>
      <w:lvlText w:val="•"/>
      <w:lvlJc w:val="left"/>
      <w:pPr>
        <w:ind w:left="2104" w:hanging="360"/>
      </w:pPr>
      <w:rPr>
        <w:rFonts w:hint="default"/>
        <w:lang w:val="en-US" w:eastAsia="en-US" w:bidi="ar-SA"/>
      </w:rPr>
    </w:lvl>
    <w:lvl w:ilvl="4" w:tplc="3AAA1F2E">
      <w:numFmt w:val="bullet"/>
      <w:lvlText w:val="•"/>
      <w:lvlJc w:val="left"/>
      <w:pPr>
        <w:ind w:left="2652" w:hanging="360"/>
      </w:pPr>
      <w:rPr>
        <w:rFonts w:hint="default"/>
        <w:lang w:val="en-US" w:eastAsia="en-US" w:bidi="ar-SA"/>
      </w:rPr>
    </w:lvl>
    <w:lvl w:ilvl="5" w:tplc="A9A21CE2">
      <w:numFmt w:val="bullet"/>
      <w:lvlText w:val="•"/>
      <w:lvlJc w:val="left"/>
      <w:pPr>
        <w:ind w:left="3200" w:hanging="360"/>
      </w:pPr>
      <w:rPr>
        <w:rFonts w:hint="default"/>
        <w:lang w:val="en-US" w:eastAsia="en-US" w:bidi="ar-SA"/>
      </w:rPr>
    </w:lvl>
    <w:lvl w:ilvl="6" w:tplc="66C2B1B2">
      <w:numFmt w:val="bullet"/>
      <w:lvlText w:val="•"/>
      <w:lvlJc w:val="left"/>
      <w:pPr>
        <w:ind w:left="3748" w:hanging="360"/>
      </w:pPr>
      <w:rPr>
        <w:rFonts w:hint="default"/>
        <w:lang w:val="en-US" w:eastAsia="en-US" w:bidi="ar-SA"/>
      </w:rPr>
    </w:lvl>
    <w:lvl w:ilvl="7" w:tplc="A4D87AB6">
      <w:numFmt w:val="bullet"/>
      <w:lvlText w:val="•"/>
      <w:lvlJc w:val="left"/>
      <w:pPr>
        <w:ind w:left="4296" w:hanging="360"/>
      </w:pPr>
      <w:rPr>
        <w:rFonts w:hint="default"/>
        <w:lang w:val="en-US" w:eastAsia="en-US" w:bidi="ar-SA"/>
      </w:rPr>
    </w:lvl>
    <w:lvl w:ilvl="8" w:tplc="F482DC78">
      <w:numFmt w:val="bullet"/>
      <w:lvlText w:val="•"/>
      <w:lvlJc w:val="left"/>
      <w:pPr>
        <w:ind w:left="4844" w:hanging="360"/>
      </w:pPr>
      <w:rPr>
        <w:rFonts w:hint="default"/>
        <w:lang w:val="en-US" w:eastAsia="en-US" w:bidi="ar-SA"/>
      </w:rPr>
    </w:lvl>
  </w:abstractNum>
  <w:abstractNum w:abstractNumId="14" w15:restartNumberingAfterBreak="0">
    <w:nsid w:val="3FCA63FD"/>
    <w:multiLevelType w:val="hybridMultilevel"/>
    <w:tmpl w:val="556A24EE"/>
    <w:lvl w:ilvl="0" w:tplc="30326792">
      <w:numFmt w:val="bullet"/>
      <w:lvlText w:val=""/>
      <w:lvlJc w:val="left"/>
      <w:pPr>
        <w:ind w:left="827" w:hanging="360"/>
      </w:pPr>
      <w:rPr>
        <w:rFonts w:ascii="Symbol" w:eastAsia="Symbol" w:hAnsi="Symbol" w:cs="Symbol" w:hint="default"/>
        <w:b w:val="0"/>
        <w:bCs w:val="0"/>
        <w:i w:val="0"/>
        <w:iCs w:val="0"/>
        <w:spacing w:val="0"/>
        <w:w w:val="99"/>
        <w:sz w:val="22"/>
        <w:szCs w:val="22"/>
        <w:lang w:val="en-US" w:eastAsia="en-US" w:bidi="ar-SA"/>
      </w:rPr>
    </w:lvl>
    <w:lvl w:ilvl="1" w:tplc="A4C6E034">
      <w:numFmt w:val="bullet"/>
      <w:lvlText w:val="•"/>
      <w:lvlJc w:val="left"/>
      <w:pPr>
        <w:ind w:left="1553" w:hanging="360"/>
      </w:pPr>
      <w:rPr>
        <w:rFonts w:hint="default"/>
        <w:lang w:val="en-US" w:eastAsia="en-US" w:bidi="ar-SA"/>
      </w:rPr>
    </w:lvl>
    <w:lvl w:ilvl="2" w:tplc="D4FEBBAE">
      <w:numFmt w:val="bullet"/>
      <w:lvlText w:val="•"/>
      <w:lvlJc w:val="left"/>
      <w:pPr>
        <w:ind w:left="2287" w:hanging="360"/>
      </w:pPr>
      <w:rPr>
        <w:rFonts w:hint="default"/>
        <w:lang w:val="en-US" w:eastAsia="en-US" w:bidi="ar-SA"/>
      </w:rPr>
    </w:lvl>
    <w:lvl w:ilvl="3" w:tplc="7A544654">
      <w:numFmt w:val="bullet"/>
      <w:lvlText w:val="•"/>
      <w:lvlJc w:val="left"/>
      <w:pPr>
        <w:ind w:left="3021" w:hanging="360"/>
      </w:pPr>
      <w:rPr>
        <w:rFonts w:hint="default"/>
        <w:lang w:val="en-US" w:eastAsia="en-US" w:bidi="ar-SA"/>
      </w:rPr>
    </w:lvl>
    <w:lvl w:ilvl="4" w:tplc="9574E622">
      <w:numFmt w:val="bullet"/>
      <w:lvlText w:val="•"/>
      <w:lvlJc w:val="left"/>
      <w:pPr>
        <w:ind w:left="3755" w:hanging="360"/>
      </w:pPr>
      <w:rPr>
        <w:rFonts w:hint="default"/>
        <w:lang w:val="en-US" w:eastAsia="en-US" w:bidi="ar-SA"/>
      </w:rPr>
    </w:lvl>
    <w:lvl w:ilvl="5" w:tplc="4284316C">
      <w:numFmt w:val="bullet"/>
      <w:lvlText w:val="•"/>
      <w:lvlJc w:val="left"/>
      <w:pPr>
        <w:ind w:left="4489" w:hanging="360"/>
      </w:pPr>
      <w:rPr>
        <w:rFonts w:hint="default"/>
        <w:lang w:val="en-US" w:eastAsia="en-US" w:bidi="ar-SA"/>
      </w:rPr>
    </w:lvl>
    <w:lvl w:ilvl="6" w:tplc="5C26AF16">
      <w:numFmt w:val="bullet"/>
      <w:lvlText w:val="•"/>
      <w:lvlJc w:val="left"/>
      <w:pPr>
        <w:ind w:left="5223" w:hanging="360"/>
      </w:pPr>
      <w:rPr>
        <w:rFonts w:hint="default"/>
        <w:lang w:val="en-US" w:eastAsia="en-US" w:bidi="ar-SA"/>
      </w:rPr>
    </w:lvl>
    <w:lvl w:ilvl="7" w:tplc="6E10CCFC">
      <w:numFmt w:val="bullet"/>
      <w:lvlText w:val="•"/>
      <w:lvlJc w:val="left"/>
      <w:pPr>
        <w:ind w:left="5957" w:hanging="360"/>
      </w:pPr>
      <w:rPr>
        <w:rFonts w:hint="default"/>
        <w:lang w:val="en-US" w:eastAsia="en-US" w:bidi="ar-SA"/>
      </w:rPr>
    </w:lvl>
    <w:lvl w:ilvl="8" w:tplc="8A960ABA">
      <w:numFmt w:val="bullet"/>
      <w:lvlText w:val="•"/>
      <w:lvlJc w:val="left"/>
      <w:pPr>
        <w:ind w:left="6691" w:hanging="360"/>
      </w:pPr>
      <w:rPr>
        <w:rFonts w:hint="default"/>
        <w:lang w:val="en-US" w:eastAsia="en-US" w:bidi="ar-SA"/>
      </w:rPr>
    </w:lvl>
  </w:abstractNum>
  <w:abstractNum w:abstractNumId="15" w15:restartNumberingAfterBreak="0">
    <w:nsid w:val="40DB6071"/>
    <w:multiLevelType w:val="hybridMultilevel"/>
    <w:tmpl w:val="59B857AC"/>
    <w:lvl w:ilvl="0" w:tplc="C21A011A">
      <w:numFmt w:val="bullet"/>
      <w:lvlText w:val=""/>
      <w:lvlJc w:val="left"/>
      <w:pPr>
        <w:ind w:left="467" w:hanging="360"/>
      </w:pPr>
      <w:rPr>
        <w:rFonts w:ascii="Symbol" w:eastAsia="Symbol" w:hAnsi="Symbol" w:cs="Symbol" w:hint="default"/>
        <w:b w:val="0"/>
        <w:bCs w:val="0"/>
        <w:i w:val="0"/>
        <w:iCs w:val="0"/>
        <w:spacing w:val="0"/>
        <w:w w:val="100"/>
        <w:sz w:val="20"/>
        <w:szCs w:val="20"/>
        <w:lang w:val="en-US" w:eastAsia="en-US" w:bidi="ar-SA"/>
      </w:rPr>
    </w:lvl>
    <w:lvl w:ilvl="1" w:tplc="A4CC930C">
      <w:numFmt w:val="bullet"/>
      <w:lvlText w:val="•"/>
      <w:lvlJc w:val="left"/>
      <w:pPr>
        <w:ind w:left="1008" w:hanging="360"/>
      </w:pPr>
      <w:rPr>
        <w:rFonts w:hint="default"/>
        <w:lang w:val="en-US" w:eastAsia="en-US" w:bidi="ar-SA"/>
      </w:rPr>
    </w:lvl>
    <w:lvl w:ilvl="2" w:tplc="D0641EF4">
      <w:numFmt w:val="bullet"/>
      <w:lvlText w:val="•"/>
      <w:lvlJc w:val="left"/>
      <w:pPr>
        <w:ind w:left="1556" w:hanging="360"/>
      </w:pPr>
      <w:rPr>
        <w:rFonts w:hint="default"/>
        <w:lang w:val="en-US" w:eastAsia="en-US" w:bidi="ar-SA"/>
      </w:rPr>
    </w:lvl>
    <w:lvl w:ilvl="3" w:tplc="B9A453D8">
      <w:numFmt w:val="bullet"/>
      <w:lvlText w:val="•"/>
      <w:lvlJc w:val="left"/>
      <w:pPr>
        <w:ind w:left="2104" w:hanging="360"/>
      </w:pPr>
      <w:rPr>
        <w:rFonts w:hint="default"/>
        <w:lang w:val="en-US" w:eastAsia="en-US" w:bidi="ar-SA"/>
      </w:rPr>
    </w:lvl>
    <w:lvl w:ilvl="4" w:tplc="DE609F3E">
      <w:numFmt w:val="bullet"/>
      <w:lvlText w:val="•"/>
      <w:lvlJc w:val="left"/>
      <w:pPr>
        <w:ind w:left="2652" w:hanging="360"/>
      </w:pPr>
      <w:rPr>
        <w:rFonts w:hint="default"/>
        <w:lang w:val="en-US" w:eastAsia="en-US" w:bidi="ar-SA"/>
      </w:rPr>
    </w:lvl>
    <w:lvl w:ilvl="5" w:tplc="A4862920">
      <w:numFmt w:val="bullet"/>
      <w:lvlText w:val="•"/>
      <w:lvlJc w:val="left"/>
      <w:pPr>
        <w:ind w:left="3200" w:hanging="360"/>
      </w:pPr>
      <w:rPr>
        <w:rFonts w:hint="default"/>
        <w:lang w:val="en-US" w:eastAsia="en-US" w:bidi="ar-SA"/>
      </w:rPr>
    </w:lvl>
    <w:lvl w:ilvl="6" w:tplc="F3CEB206">
      <w:numFmt w:val="bullet"/>
      <w:lvlText w:val="•"/>
      <w:lvlJc w:val="left"/>
      <w:pPr>
        <w:ind w:left="3748" w:hanging="360"/>
      </w:pPr>
      <w:rPr>
        <w:rFonts w:hint="default"/>
        <w:lang w:val="en-US" w:eastAsia="en-US" w:bidi="ar-SA"/>
      </w:rPr>
    </w:lvl>
    <w:lvl w:ilvl="7" w:tplc="0844760E">
      <w:numFmt w:val="bullet"/>
      <w:lvlText w:val="•"/>
      <w:lvlJc w:val="left"/>
      <w:pPr>
        <w:ind w:left="4296" w:hanging="360"/>
      </w:pPr>
      <w:rPr>
        <w:rFonts w:hint="default"/>
        <w:lang w:val="en-US" w:eastAsia="en-US" w:bidi="ar-SA"/>
      </w:rPr>
    </w:lvl>
    <w:lvl w:ilvl="8" w:tplc="77DCC1D2">
      <w:numFmt w:val="bullet"/>
      <w:lvlText w:val="•"/>
      <w:lvlJc w:val="left"/>
      <w:pPr>
        <w:ind w:left="4844" w:hanging="360"/>
      </w:pPr>
      <w:rPr>
        <w:rFonts w:hint="default"/>
        <w:lang w:val="en-US" w:eastAsia="en-US" w:bidi="ar-SA"/>
      </w:rPr>
    </w:lvl>
  </w:abstractNum>
  <w:abstractNum w:abstractNumId="16" w15:restartNumberingAfterBreak="0">
    <w:nsid w:val="438F07C9"/>
    <w:multiLevelType w:val="hybridMultilevel"/>
    <w:tmpl w:val="AD26F5AE"/>
    <w:lvl w:ilvl="0" w:tplc="BCAA3A8A">
      <w:numFmt w:val="bullet"/>
      <w:lvlText w:val=""/>
      <w:lvlJc w:val="left"/>
      <w:pPr>
        <w:ind w:left="467" w:hanging="360"/>
      </w:pPr>
      <w:rPr>
        <w:rFonts w:ascii="Symbol" w:eastAsia="Symbol" w:hAnsi="Symbol" w:cs="Symbol" w:hint="default"/>
        <w:b w:val="0"/>
        <w:bCs w:val="0"/>
        <w:i w:val="0"/>
        <w:iCs w:val="0"/>
        <w:spacing w:val="0"/>
        <w:w w:val="100"/>
        <w:sz w:val="20"/>
        <w:szCs w:val="20"/>
        <w:lang w:val="en-US" w:eastAsia="en-US" w:bidi="ar-SA"/>
      </w:rPr>
    </w:lvl>
    <w:lvl w:ilvl="1" w:tplc="34589B04">
      <w:numFmt w:val="bullet"/>
      <w:lvlText w:val="•"/>
      <w:lvlJc w:val="left"/>
      <w:pPr>
        <w:ind w:left="1008" w:hanging="360"/>
      </w:pPr>
      <w:rPr>
        <w:rFonts w:hint="default"/>
        <w:lang w:val="en-US" w:eastAsia="en-US" w:bidi="ar-SA"/>
      </w:rPr>
    </w:lvl>
    <w:lvl w:ilvl="2" w:tplc="7EC48E04">
      <w:numFmt w:val="bullet"/>
      <w:lvlText w:val="•"/>
      <w:lvlJc w:val="left"/>
      <w:pPr>
        <w:ind w:left="1556" w:hanging="360"/>
      </w:pPr>
      <w:rPr>
        <w:rFonts w:hint="default"/>
        <w:lang w:val="en-US" w:eastAsia="en-US" w:bidi="ar-SA"/>
      </w:rPr>
    </w:lvl>
    <w:lvl w:ilvl="3" w:tplc="9C62DA1A">
      <w:numFmt w:val="bullet"/>
      <w:lvlText w:val="•"/>
      <w:lvlJc w:val="left"/>
      <w:pPr>
        <w:ind w:left="2104" w:hanging="360"/>
      </w:pPr>
      <w:rPr>
        <w:rFonts w:hint="default"/>
        <w:lang w:val="en-US" w:eastAsia="en-US" w:bidi="ar-SA"/>
      </w:rPr>
    </w:lvl>
    <w:lvl w:ilvl="4" w:tplc="C64CC8C0">
      <w:numFmt w:val="bullet"/>
      <w:lvlText w:val="•"/>
      <w:lvlJc w:val="left"/>
      <w:pPr>
        <w:ind w:left="2652" w:hanging="360"/>
      </w:pPr>
      <w:rPr>
        <w:rFonts w:hint="default"/>
        <w:lang w:val="en-US" w:eastAsia="en-US" w:bidi="ar-SA"/>
      </w:rPr>
    </w:lvl>
    <w:lvl w:ilvl="5" w:tplc="1A14D0F6">
      <w:numFmt w:val="bullet"/>
      <w:lvlText w:val="•"/>
      <w:lvlJc w:val="left"/>
      <w:pPr>
        <w:ind w:left="3200" w:hanging="360"/>
      </w:pPr>
      <w:rPr>
        <w:rFonts w:hint="default"/>
        <w:lang w:val="en-US" w:eastAsia="en-US" w:bidi="ar-SA"/>
      </w:rPr>
    </w:lvl>
    <w:lvl w:ilvl="6" w:tplc="085AB90C">
      <w:numFmt w:val="bullet"/>
      <w:lvlText w:val="•"/>
      <w:lvlJc w:val="left"/>
      <w:pPr>
        <w:ind w:left="3748" w:hanging="360"/>
      </w:pPr>
      <w:rPr>
        <w:rFonts w:hint="default"/>
        <w:lang w:val="en-US" w:eastAsia="en-US" w:bidi="ar-SA"/>
      </w:rPr>
    </w:lvl>
    <w:lvl w:ilvl="7" w:tplc="8676CEF0">
      <w:numFmt w:val="bullet"/>
      <w:lvlText w:val="•"/>
      <w:lvlJc w:val="left"/>
      <w:pPr>
        <w:ind w:left="4296" w:hanging="360"/>
      </w:pPr>
      <w:rPr>
        <w:rFonts w:hint="default"/>
        <w:lang w:val="en-US" w:eastAsia="en-US" w:bidi="ar-SA"/>
      </w:rPr>
    </w:lvl>
    <w:lvl w:ilvl="8" w:tplc="7FE2761A">
      <w:numFmt w:val="bullet"/>
      <w:lvlText w:val="•"/>
      <w:lvlJc w:val="left"/>
      <w:pPr>
        <w:ind w:left="4844" w:hanging="360"/>
      </w:pPr>
      <w:rPr>
        <w:rFonts w:hint="default"/>
        <w:lang w:val="en-US" w:eastAsia="en-US" w:bidi="ar-SA"/>
      </w:rPr>
    </w:lvl>
  </w:abstractNum>
  <w:abstractNum w:abstractNumId="17" w15:restartNumberingAfterBreak="0">
    <w:nsid w:val="43CA617F"/>
    <w:multiLevelType w:val="hybridMultilevel"/>
    <w:tmpl w:val="055630D6"/>
    <w:lvl w:ilvl="0" w:tplc="1154FEEA">
      <w:numFmt w:val="bullet"/>
      <w:lvlText w:val=""/>
      <w:lvlJc w:val="left"/>
      <w:pPr>
        <w:ind w:left="467" w:hanging="360"/>
      </w:pPr>
      <w:rPr>
        <w:rFonts w:ascii="Symbol" w:eastAsia="Symbol" w:hAnsi="Symbol" w:cs="Symbol" w:hint="default"/>
        <w:b w:val="0"/>
        <w:bCs w:val="0"/>
        <w:i w:val="0"/>
        <w:iCs w:val="0"/>
        <w:spacing w:val="0"/>
        <w:w w:val="100"/>
        <w:sz w:val="20"/>
        <w:szCs w:val="20"/>
        <w:lang w:val="en-US" w:eastAsia="en-US" w:bidi="ar-SA"/>
      </w:rPr>
    </w:lvl>
    <w:lvl w:ilvl="1" w:tplc="EF8A37A2">
      <w:numFmt w:val="bullet"/>
      <w:lvlText w:val="•"/>
      <w:lvlJc w:val="left"/>
      <w:pPr>
        <w:ind w:left="1008" w:hanging="360"/>
      </w:pPr>
      <w:rPr>
        <w:rFonts w:hint="default"/>
        <w:lang w:val="en-US" w:eastAsia="en-US" w:bidi="ar-SA"/>
      </w:rPr>
    </w:lvl>
    <w:lvl w:ilvl="2" w:tplc="C75A51B8">
      <w:numFmt w:val="bullet"/>
      <w:lvlText w:val="•"/>
      <w:lvlJc w:val="left"/>
      <w:pPr>
        <w:ind w:left="1556" w:hanging="360"/>
      </w:pPr>
      <w:rPr>
        <w:rFonts w:hint="default"/>
        <w:lang w:val="en-US" w:eastAsia="en-US" w:bidi="ar-SA"/>
      </w:rPr>
    </w:lvl>
    <w:lvl w:ilvl="3" w:tplc="7DA257C2">
      <w:numFmt w:val="bullet"/>
      <w:lvlText w:val="•"/>
      <w:lvlJc w:val="left"/>
      <w:pPr>
        <w:ind w:left="2104" w:hanging="360"/>
      </w:pPr>
      <w:rPr>
        <w:rFonts w:hint="default"/>
        <w:lang w:val="en-US" w:eastAsia="en-US" w:bidi="ar-SA"/>
      </w:rPr>
    </w:lvl>
    <w:lvl w:ilvl="4" w:tplc="0F48BAAC">
      <w:numFmt w:val="bullet"/>
      <w:lvlText w:val="•"/>
      <w:lvlJc w:val="left"/>
      <w:pPr>
        <w:ind w:left="2652" w:hanging="360"/>
      </w:pPr>
      <w:rPr>
        <w:rFonts w:hint="default"/>
        <w:lang w:val="en-US" w:eastAsia="en-US" w:bidi="ar-SA"/>
      </w:rPr>
    </w:lvl>
    <w:lvl w:ilvl="5" w:tplc="CB121EDA">
      <w:numFmt w:val="bullet"/>
      <w:lvlText w:val="•"/>
      <w:lvlJc w:val="left"/>
      <w:pPr>
        <w:ind w:left="3200" w:hanging="360"/>
      </w:pPr>
      <w:rPr>
        <w:rFonts w:hint="default"/>
        <w:lang w:val="en-US" w:eastAsia="en-US" w:bidi="ar-SA"/>
      </w:rPr>
    </w:lvl>
    <w:lvl w:ilvl="6" w:tplc="15F6C814">
      <w:numFmt w:val="bullet"/>
      <w:lvlText w:val="•"/>
      <w:lvlJc w:val="left"/>
      <w:pPr>
        <w:ind w:left="3748" w:hanging="360"/>
      </w:pPr>
      <w:rPr>
        <w:rFonts w:hint="default"/>
        <w:lang w:val="en-US" w:eastAsia="en-US" w:bidi="ar-SA"/>
      </w:rPr>
    </w:lvl>
    <w:lvl w:ilvl="7" w:tplc="5A04B624">
      <w:numFmt w:val="bullet"/>
      <w:lvlText w:val="•"/>
      <w:lvlJc w:val="left"/>
      <w:pPr>
        <w:ind w:left="4296" w:hanging="360"/>
      </w:pPr>
      <w:rPr>
        <w:rFonts w:hint="default"/>
        <w:lang w:val="en-US" w:eastAsia="en-US" w:bidi="ar-SA"/>
      </w:rPr>
    </w:lvl>
    <w:lvl w:ilvl="8" w:tplc="26781AEA">
      <w:numFmt w:val="bullet"/>
      <w:lvlText w:val="•"/>
      <w:lvlJc w:val="left"/>
      <w:pPr>
        <w:ind w:left="4844" w:hanging="360"/>
      </w:pPr>
      <w:rPr>
        <w:rFonts w:hint="default"/>
        <w:lang w:val="en-US" w:eastAsia="en-US" w:bidi="ar-SA"/>
      </w:rPr>
    </w:lvl>
  </w:abstractNum>
  <w:abstractNum w:abstractNumId="18" w15:restartNumberingAfterBreak="0">
    <w:nsid w:val="462408CD"/>
    <w:multiLevelType w:val="hybridMultilevel"/>
    <w:tmpl w:val="B3BA7E9E"/>
    <w:lvl w:ilvl="0" w:tplc="EB00F200">
      <w:start w:val="1"/>
      <w:numFmt w:val="decimal"/>
      <w:lvlText w:val="%1."/>
      <w:lvlJc w:val="left"/>
      <w:pPr>
        <w:ind w:left="1167" w:hanging="360"/>
        <w:jc w:val="left"/>
      </w:pPr>
      <w:rPr>
        <w:rFonts w:ascii="Calibri" w:eastAsia="Calibri" w:hAnsi="Calibri" w:cs="Calibri" w:hint="default"/>
        <w:b/>
        <w:bCs/>
        <w:i w:val="0"/>
        <w:iCs w:val="0"/>
        <w:spacing w:val="0"/>
        <w:w w:val="99"/>
        <w:sz w:val="22"/>
        <w:szCs w:val="22"/>
        <w:lang w:val="en-US" w:eastAsia="en-US" w:bidi="ar-SA"/>
      </w:rPr>
    </w:lvl>
    <w:lvl w:ilvl="1" w:tplc="A8846E56">
      <w:numFmt w:val="bullet"/>
      <w:lvlText w:val="•"/>
      <w:lvlJc w:val="left"/>
      <w:pPr>
        <w:ind w:left="2078" w:hanging="360"/>
      </w:pPr>
      <w:rPr>
        <w:rFonts w:hint="default"/>
        <w:lang w:val="en-US" w:eastAsia="en-US" w:bidi="ar-SA"/>
      </w:rPr>
    </w:lvl>
    <w:lvl w:ilvl="2" w:tplc="6890E0AE">
      <w:numFmt w:val="bullet"/>
      <w:lvlText w:val="•"/>
      <w:lvlJc w:val="left"/>
      <w:pPr>
        <w:ind w:left="2997" w:hanging="360"/>
      </w:pPr>
      <w:rPr>
        <w:rFonts w:hint="default"/>
        <w:lang w:val="en-US" w:eastAsia="en-US" w:bidi="ar-SA"/>
      </w:rPr>
    </w:lvl>
    <w:lvl w:ilvl="3" w:tplc="24E0069A">
      <w:numFmt w:val="bullet"/>
      <w:lvlText w:val="•"/>
      <w:lvlJc w:val="left"/>
      <w:pPr>
        <w:ind w:left="3916" w:hanging="360"/>
      </w:pPr>
      <w:rPr>
        <w:rFonts w:hint="default"/>
        <w:lang w:val="en-US" w:eastAsia="en-US" w:bidi="ar-SA"/>
      </w:rPr>
    </w:lvl>
    <w:lvl w:ilvl="4" w:tplc="ABE2A2A2">
      <w:numFmt w:val="bullet"/>
      <w:lvlText w:val="•"/>
      <w:lvlJc w:val="left"/>
      <w:pPr>
        <w:ind w:left="4835" w:hanging="360"/>
      </w:pPr>
      <w:rPr>
        <w:rFonts w:hint="default"/>
        <w:lang w:val="en-US" w:eastAsia="en-US" w:bidi="ar-SA"/>
      </w:rPr>
    </w:lvl>
    <w:lvl w:ilvl="5" w:tplc="B704912C">
      <w:numFmt w:val="bullet"/>
      <w:lvlText w:val="•"/>
      <w:lvlJc w:val="left"/>
      <w:pPr>
        <w:ind w:left="5754" w:hanging="360"/>
      </w:pPr>
      <w:rPr>
        <w:rFonts w:hint="default"/>
        <w:lang w:val="en-US" w:eastAsia="en-US" w:bidi="ar-SA"/>
      </w:rPr>
    </w:lvl>
    <w:lvl w:ilvl="6" w:tplc="AFB2D828">
      <w:numFmt w:val="bullet"/>
      <w:lvlText w:val="•"/>
      <w:lvlJc w:val="left"/>
      <w:pPr>
        <w:ind w:left="6673" w:hanging="360"/>
      </w:pPr>
      <w:rPr>
        <w:rFonts w:hint="default"/>
        <w:lang w:val="en-US" w:eastAsia="en-US" w:bidi="ar-SA"/>
      </w:rPr>
    </w:lvl>
    <w:lvl w:ilvl="7" w:tplc="367CC556">
      <w:numFmt w:val="bullet"/>
      <w:lvlText w:val="•"/>
      <w:lvlJc w:val="left"/>
      <w:pPr>
        <w:ind w:left="7591" w:hanging="360"/>
      </w:pPr>
      <w:rPr>
        <w:rFonts w:hint="default"/>
        <w:lang w:val="en-US" w:eastAsia="en-US" w:bidi="ar-SA"/>
      </w:rPr>
    </w:lvl>
    <w:lvl w:ilvl="8" w:tplc="120E2898">
      <w:numFmt w:val="bullet"/>
      <w:lvlText w:val="•"/>
      <w:lvlJc w:val="left"/>
      <w:pPr>
        <w:ind w:left="8510" w:hanging="360"/>
      </w:pPr>
      <w:rPr>
        <w:rFonts w:hint="default"/>
        <w:lang w:val="en-US" w:eastAsia="en-US" w:bidi="ar-SA"/>
      </w:rPr>
    </w:lvl>
  </w:abstractNum>
  <w:abstractNum w:abstractNumId="19" w15:restartNumberingAfterBreak="0">
    <w:nsid w:val="48F102AD"/>
    <w:multiLevelType w:val="hybridMultilevel"/>
    <w:tmpl w:val="AE463A18"/>
    <w:lvl w:ilvl="0" w:tplc="02804388">
      <w:numFmt w:val="bullet"/>
      <w:lvlText w:val=""/>
      <w:lvlJc w:val="left"/>
      <w:pPr>
        <w:ind w:left="467" w:hanging="360"/>
      </w:pPr>
      <w:rPr>
        <w:rFonts w:ascii="Symbol" w:eastAsia="Symbol" w:hAnsi="Symbol" w:cs="Symbol" w:hint="default"/>
        <w:b w:val="0"/>
        <w:bCs w:val="0"/>
        <w:i w:val="0"/>
        <w:iCs w:val="0"/>
        <w:spacing w:val="0"/>
        <w:w w:val="100"/>
        <w:sz w:val="20"/>
        <w:szCs w:val="20"/>
        <w:lang w:val="en-US" w:eastAsia="en-US" w:bidi="ar-SA"/>
      </w:rPr>
    </w:lvl>
    <w:lvl w:ilvl="1" w:tplc="02F0FA56">
      <w:numFmt w:val="bullet"/>
      <w:lvlText w:val="•"/>
      <w:lvlJc w:val="left"/>
      <w:pPr>
        <w:ind w:left="1008" w:hanging="360"/>
      </w:pPr>
      <w:rPr>
        <w:rFonts w:hint="default"/>
        <w:lang w:val="en-US" w:eastAsia="en-US" w:bidi="ar-SA"/>
      </w:rPr>
    </w:lvl>
    <w:lvl w:ilvl="2" w:tplc="71B6B37E">
      <w:numFmt w:val="bullet"/>
      <w:lvlText w:val="•"/>
      <w:lvlJc w:val="left"/>
      <w:pPr>
        <w:ind w:left="1556" w:hanging="360"/>
      </w:pPr>
      <w:rPr>
        <w:rFonts w:hint="default"/>
        <w:lang w:val="en-US" w:eastAsia="en-US" w:bidi="ar-SA"/>
      </w:rPr>
    </w:lvl>
    <w:lvl w:ilvl="3" w:tplc="753E3FB6">
      <w:numFmt w:val="bullet"/>
      <w:lvlText w:val="•"/>
      <w:lvlJc w:val="left"/>
      <w:pPr>
        <w:ind w:left="2104" w:hanging="360"/>
      </w:pPr>
      <w:rPr>
        <w:rFonts w:hint="default"/>
        <w:lang w:val="en-US" w:eastAsia="en-US" w:bidi="ar-SA"/>
      </w:rPr>
    </w:lvl>
    <w:lvl w:ilvl="4" w:tplc="82BCC8D2">
      <w:numFmt w:val="bullet"/>
      <w:lvlText w:val="•"/>
      <w:lvlJc w:val="left"/>
      <w:pPr>
        <w:ind w:left="2652" w:hanging="360"/>
      </w:pPr>
      <w:rPr>
        <w:rFonts w:hint="default"/>
        <w:lang w:val="en-US" w:eastAsia="en-US" w:bidi="ar-SA"/>
      </w:rPr>
    </w:lvl>
    <w:lvl w:ilvl="5" w:tplc="ABD69B1C">
      <w:numFmt w:val="bullet"/>
      <w:lvlText w:val="•"/>
      <w:lvlJc w:val="left"/>
      <w:pPr>
        <w:ind w:left="3200" w:hanging="360"/>
      </w:pPr>
      <w:rPr>
        <w:rFonts w:hint="default"/>
        <w:lang w:val="en-US" w:eastAsia="en-US" w:bidi="ar-SA"/>
      </w:rPr>
    </w:lvl>
    <w:lvl w:ilvl="6" w:tplc="F894C76E">
      <w:numFmt w:val="bullet"/>
      <w:lvlText w:val="•"/>
      <w:lvlJc w:val="left"/>
      <w:pPr>
        <w:ind w:left="3748" w:hanging="360"/>
      </w:pPr>
      <w:rPr>
        <w:rFonts w:hint="default"/>
        <w:lang w:val="en-US" w:eastAsia="en-US" w:bidi="ar-SA"/>
      </w:rPr>
    </w:lvl>
    <w:lvl w:ilvl="7" w:tplc="7EF2A8B2">
      <w:numFmt w:val="bullet"/>
      <w:lvlText w:val="•"/>
      <w:lvlJc w:val="left"/>
      <w:pPr>
        <w:ind w:left="4296" w:hanging="360"/>
      </w:pPr>
      <w:rPr>
        <w:rFonts w:hint="default"/>
        <w:lang w:val="en-US" w:eastAsia="en-US" w:bidi="ar-SA"/>
      </w:rPr>
    </w:lvl>
    <w:lvl w:ilvl="8" w:tplc="646CFD98">
      <w:numFmt w:val="bullet"/>
      <w:lvlText w:val="•"/>
      <w:lvlJc w:val="left"/>
      <w:pPr>
        <w:ind w:left="4844" w:hanging="360"/>
      </w:pPr>
      <w:rPr>
        <w:rFonts w:hint="default"/>
        <w:lang w:val="en-US" w:eastAsia="en-US" w:bidi="ar-SA"/>
      </w:rPr>
    </w:lvl>
  </w:abstractNum>
  <w:abstractNum w:abstractNumId="20" w15:restartNumberingAfterBreak="0">
    <w:nsid w:val="49591CF7"/>
    <w:multiLevelType w:val="hybridMultilevel"/>
    <w:tmpl w:val="D3E488CE"/>
    <w:lvl w:ilvl="0" w:tplc="C7963830">
      <w:start w:val="1"/>
      <w:numFmt w:val="lowerLetter"/>
      <w:lvlText w:val="%1."/>
      <w:lvlJc w:val="left"/>
      <w:pPr>
        <w:ind w:left="430" w:hanging="374"/>
        <w:jc w:val="left"/>
      </w:pPr>
      <w:rPr>
        <w:rFonts w:ascii="Calibri" w:eastAsia="Calibri" w:hAnsi="Calibri" w:cs="Calibri" w:hint="default"/>
        <w:b w:val="0"/>
        <w:bCs w:val="0"/>
        <w:i w:val="0"/>
        <w:iCs w:val="0"/>
        <w:color w:val="FFFFFF"/>
        <w:spacing w:val="0"/>
        <w:w w:val="99"/>
        <w:sz w:val="22"/>
        <w:szCs w:val="22"/>
        <w:lang w:val="en-US" w:eastAsia="en-US" w:bidi="ar-SA"/>
      </w:rPr>
    </w:lvl>
    <w:lvl w:ilvl="1" w:tplc="DB7E3024">
      <w:numFmt w:val="bullet"/>
      <w:lvlText w:val="•"/>
      <w:lvlJc w:val="left"/>
      <w:pPr>
        <w:ind w:left="1346" w:hanging="374"/>
      </w:pPr>
      <w:rPr>
        <w:rFonts w:hint="default"/>
        <w:lang w:val="en-US" w:eastAsia="en-US" w:bidi="ar-SA"/>
      </w:rPr>
    </w:lvl>
    <w:lvl w:ilvl="2" w:tplc="3E18A992">
      <w:numFmt w:val="bullet"/>
      <w:lvlText w:val="•"/>
      <w:lvlJc w:val="left"/>
      <w:pPr>
        <w:ind w:left="2253" w:hanging="374"/>
      </w:pPr>
      <w:rPr>
        <w:rFonts w:hint="default"/>
        <w:lang w:val="en-US" w:eastAsia="en-US" w:bidi="ar-SA"/>
      </w:rPr>
    </w:lvl>
    <w:lvl w:ilvl="3" w:tplc="C0C8693C">
      <w:numFmt w:val="bullet"/>
      <w:lvlText w:val="•"/>
      <w:lvlJc w:val="left"/>
      <w:pPr>
        <w:ind w:left="3159" w:hanging="374"/>
      </w:pPr>
      <w:rPr>
        <w:rFonts w:hint="default"/>
        <w:lang w:val="en-US" w:eastAsia="en-US" w:bidi="ar-SA"/>
      </w:rPr>
    </w:lvl>
    <w:lvl w:ilvl="4" w:tplc="803C0DFE">
      <w:numFmt w:val="bullet"/>
      <w:lvlText w:val="•"/>
      <w:lvlJc w:val="left"/>
      <w:pPr>
        <w:ind w:left="4066" w:hanging="374"/>
      </w:pPr>
      <w:rPr>
        <w:rFonts w:hint="default"/>
        <w:lang w:val="en-US" w:eastAsia="en-US" w:bidi="ar-SA"/>
      </w:rPr>
    </w:lvl>
    <w:lvl w:ilvl="5" w:tplc="0EB22FA2">
      <w:numFmt w:val="bullet"/>
      <w:lvlText w:val="•"/>
      <w:lvlJc w:val="left"/>
      <w:pPr>
        <w:ind w:left="4973" w:hanging="374"/>
      </w:pPr>
      <w:rPr>
        <w:rFonts w:hint="default"/>
        <w:lang w:val="en-US" w:eastAsia="en-US" w:bidi="ar-SA"/>
      </w:rPr>
    </w:lvl>
    <w:lvl w:ilvl="6" w:tplc="B29A6A70">
      <w:numFmt w:val="bullet"/>
      <w:lvlText w:val="•"/>
      <w:lvlJc w:val="left"/>
      <w:pPr>
        <w:ind w:left="5879" w:hanging="374"/>
      </w:pPr>
      <w:rPr>
        <w:rFonts w:hint="default"/>
        <w:lang w:val="en-US" w:eastAsia="en-US" w:bidi="ar-SA"/>
      </w:rPr>
    </w:lvl>
    <w:lvl w:ilvl="7" w:tplc="B37294E4">
      <w:numFmt w:val="bullet"/>
      <w:lvlText w:val="•"/>
      <w:lvlJc w:val="left"/>
      <w:pPr>
        <w:ind w:left="6786" w:hanging="374"/>
      </w:pPr>
      <w:rPr>
        <w:rFonts w:hint="default"/>
        <w:lang w:val="en-US" w:eastAsia="en-US" w:bidi="ar-SA"/>
      </w:rPr>
    </w:lvl>
    <w:lvl w:ilvl="8" w:tplc="72E06580">
      <w:numFmt w:val="bullet"/>
      <w:lvlText w:val="•"/>
      <w:lvlJc w:val="left"/>
      <w:pPr>
        <w:ind w:left="7693" w:hanging="374"/>
      </w:pPr>
      <w:rPr>
        <w:rFonts w:hint="default"/>
        <w:lang w:val="en-US" w:eastAsia="en-US" w:bidi="ar-SA"/>
      </w:rPr>
    </w:lvl>
  </w:abstractNum>
  <w:abstractNum w:abstractNumId="21" w15:restartNumberingAfterBreak="0">
    <w:nsid w:val="4C2A1F49"/>
    <w:multiLevelType w:val="hybridMultilevel"/>
    <w:tmpl w:val="C57E0A72"/>
    <w:lvl w:ilvl="0" w:tplc="02C6E34E">
      <w:numFmt w:val="bullet"/>
      <w:lvlText w:val=""/>
      <w:lvlJc w:val="left"/>
      <w:pPr>
        <w:ind w:left="467" w:hanging="360"/>
      </w:pPr>
      <w:rPr>
        <w:rFonts w:ascii="Symbol" w:eastAsia="Symbol" w:hAnsi="Symbol" w:cs="Symbol" w:hint="default"/>
        <w:b w:val="0"/>
        <w:bCs w:val="0"/>
        <w:i w:val="0"/>
        <w:iCs w:val="0"/>
        <w:spacing w:val="0"/>
        <w:w w:val="100"/>
        <w:sz w:val="20"/>
        <w:szCs w:val="20"/>
        <w:lang w:val="en-US" w:eastAsia="en-US" w:bidi="ar-SA"/>
      </w:rPr>
    </w:lvl>
    <w:lvl w:ilvl="1" w:tplc="A668772C">
      <w:numFmt w:val="bullet"/>
      <w:lvlText w:val="•"/>
      <w:lvlJc w:val="left"/>
      <w:pPr>
        <w:ind w:left="1008" w:hanging="360"/>
      </w:pPr>
      <w:rPr>
        <w:rFonts w:hint="default"/>
        <w:lang w:val="en-US" w:eastAsia="en-US" w:bidi="ar-SA"/>
      </w:rPr>
    </w:lvl>
    <w:lvl w:ilvl="2" w:tplc="4D369126">
      <w:numFmt w:val="bullet"/>
      <w:lvlText w:val="•"/>
      <w:lvlJc w:val="left"/>
      <w:pPr>
        <w:ind w:left="1556" w:hanging="360"/>
      </w:pPr>
      <w:rPr>
        <w:rFonts w:hint="default"/>
        <w:lang w:val="en-US" w:eastAsia="en-US" w:bidi="ar-SA"/>
      </w:rPr>
    </w:lvl>
    <w:lvl w:ilvl="3" w:tplc="D8BE8946">
      <w:numFmt w:val="bullet"/>
      <w:lvlText w:val="•"/>
      <w:lvlJc w:val="left"/>
      <w:pPr>
        <w:ind w:left="2104" w:hanging="360"/>
      </w:pPr>
      <w:rPr>
        <w:rFonts w:hint="default"/>
        <w:lang w:val="en-US" w:eastAsia="en-US" w:bidi="ar-SA"/>
      </w:rPr>
    </w:lvl>
    <w:lvl w:ilvl="4" w:tplc="C2604E42">
      <w:numFmt w:val="bullet"/>
      <w:lvlText w:val="•"/>
      <w:lvlJc w:val="left"/>
      <w:pPr>
        <w:ind w:left="2652" w:hanging="360"/>
      </w:pPr>
      <w:rPr>
        <w:rFonts w:hint="default"/>
        <w:lang w:val="en-US" w:eastAsia="en-US" w:bidi="ar-SA"/>
      </w:rPr>
    </w:lvl>
    <w:lvl w:ilvl="5" w:tplc="C9F2E7A0">
      <w:numFmt w:val="bullet"/>
      <w:lvlText w:val="•"/>
      <w:lvlJc w:val="left"/>
      <w:pPr>
        <w:ind w:left="3200" w:hanging="360"/>
      </w:pPr>
      <w:rPr>
        <w:rFonts w:hint="default"/>
        <w:lang w:val="en-US" w:eastAsia="en-US" w:bidi="ar-SA"/>
      </w:rPr>
    </w:lvl>
    <w:lvl w:ilvl="6" w:tplc="ABDCCC22">
      <w:numFmt w:val="bullet"/>
      <w:lvlText w:val="•"/>
      <w:lvlJc w:val="left"/>
      <w:pPr>
        <w:ind w:left="3748" w:hanging="360"/>
      </w:pPr>
      <w:rPr>
        <w:rFonts w:hint="default"/>
        <w:lang w:val="en-US" w:eastAsia="en-US" w:bidi="ar-SA"/>
      </w:rPr>
    </w:lvl>
    <w:lvl w:ilvl="7" w:tplc="AFAE319A">
      <w:numFmt w:val="bullet"/>
      <w:lvlText w:val="•"/>
      <w:lvlJc w:val="left"/>
      <w:pPr>
        <w:ind w:left="4296" w:hanging="360"/>
      </w:pPr>
      <w:rPr>
        <w:rFonts w:hint="default"/>
        <w:lang w:val="en-US" w:eastAsia="en-US" w:bidi="ar-SA"/>
      </w:rPr>
    </w:lvl>
    <w:lvl w:ilvl="8" w:tplc="2C200CE6">
      <w:numFmt w:val="bullet"/>
      <w:lvlText w:val="•"/>
      <w:lvlJc w:val="left"/>
      <w:pPr>
        <w:ind w:left="4844" w:hanging="360"/>
      </w:pPr>
      <w:rPr>
        <w:rFonts w:hint="default"/>
        <w:lang w:val="en-US" w:eastAsia="en-US" w:bidi="ar-SA"/>
      </w:rPr>
    </w:lvl>
  </w:abstractNum>
  <w:abstractNum w:abstractNumId="22" w15:restartNumberingAfterBreak="0">
    <w:nsid w:val="4D200EAE"/>
    <w:multiLevelType w:val="hybridMultilevel"/>
    <w:tmpl w:val="BCD0E9E0"/>
    <w:lvl w:ilvl="0" w:tplc="BCC4590A">
      <w:numFmt w:val="bullet"/>
      <w:lvlText w:val=""/>
      <w:lvlJc w:val="left"/>
      <w:pPr>
        <w:ind w:left="467" w:hanging="360"/>
      </w:pPr>
      <w:rPr>
        <w:rFonts w:ascii="Symbol" w:eastAsia="Symbol" w:hAnsi="Symbol" w:cs="Symbol" w:hint="default"/>
        <w:b w:val="0"/>
        <w:bCs w:val="0"/>
        <w:i w:val="0"/>
        <w:iCs w:val="0"/>
        <w:spacing w:val="0"/>
        <w:w w:val="100"/>
        <w:sz w:val="20"/>
        <w:szCs w:val="20"/>
        <w:lang w:val="en-US" w:eastAsia="en-US" w:bidi="ar-SA"/>
      </w:rPr>
    </w:lvl>
    <w:lvl w:ilvl="1" w:tplc="30686E9A">
      <w:numFmt w:val="bullet"/>
      <w:lvlText w:val="•"/>
      <w:lvlJc w:val="left"/>
      <w:pPr>
        <w:ind w:left="1008" w:hanging="360"/>
      </w:pPr>
      <w:rPr>
        <w:rFonts w:hint="default"/>
        <w:lang w:val="en-US" w:eastAsia="en-US" w:bidi="ar-SA"/>
      </w:rPr>
    </w:lvl>
    <w:lvl w:ilvl="2" w:tplc="810E8B38">
      <w:numFmt w:val="bullet"/>
      <w:lvlText w:val="•"/>
      <w:lvlJc w:val="left"/>
      <w:pPr>
        <w:ind w:left="1556" w:hanging="360"/>
      </w:pPr>
      <w:rPr>
        <w:rFonts w:hint="default"/>
        <w:lang w:val="en-US" w:eastAsia="en-US" w:bidi="ar-SA"/>
      </w:rPr>
    </w:lvl>
    <w:lvl w:ilvl="3" w:tplc="80781486">
      <w:numFmt w:val="bullet"/>
      <w:lvlText w:val="•"/>
      <w:lvlJc w:val="left"/>
      <w:pPr>
        <w:ind w:left="2104" w:hanging="360"/>
      </w:pPr>
      <w:rPr>
        <w:rFonts w:hint="default"/>
        <w:lang w:val="en-US" w:eastAsia="en-US" w:bidi="ar-SA"/>
      </w:rPr>
    </w:lvl>
    <w:lvl w:ilvl="4" w:tplc="A6E646CC">
      <w:numFmt w:val="bullet"/>
      <w:lvlText w:val="•"/>
      <w:lvlJc w:val="left"/>
      <w:pPr>
        <w:ind w:left="2652" w:hanging="360"/>
      </w:pPr>
      <w:rPr>
        <w:rFonts w:hint="default"/>
        <w:lang w:val="en-US" w:eastAsia="en-US" w:bidi="ar-SA"/>
      </w:rPr>
    </w:lvl>
    <w:lvl w:ilvl="5" w:tplc="8E6C6ED4">
      <w:numFmt w:val="bullet"/>
      <w:lvlText w:val="•"/>
      <w:lvlJc w:val="left"/>
      <w:pPr>
        <w:ind w:left="3200" w:hanging="360"/>
      </w:pPr>
      <w:rPr>
        <w:rFonts w:hint="default"/>
        <w:lang w:val="en-US" w:eastAsia="en-US" w:bidi="ar-SA"/>
      </w:rPr>
    </w:lvl>
    <w:lvl w:ilvl="6" w:tplc="38349C1C">
      <w:numFmt w:val="bullet"/>
      <w:lvlText w:val="•"/>
      <w:lvlJc w:val="left"/>
      <w:pPr>
        <w:ind w:left="3748" w:hanging="360"/>
      </w:pPr>
      <w:rPr>
        <w:rFonts w:hint="default"/>
        <w:lang w:val="en-US" w:eastAsia="en-US" w:bidi="ar-SA"/>
      </w:rPr>
    </w:lvl>
    <w:lvl w:ilvl="7" w:tplc="6C3C9E90">
      <w:numFmt w:val="bullet"/>
      <w:lvlText w:val="•"/>
      <w:lvlJc w:val="left"/>
      <w:pPr>
        <w:ind w:left="4296" w:hanging="360"/>
      </w:pPr>
      <w:rPr>
        <w:rFonts w:hint="default"/>
        <w:lang w:val="en-US" w:eastAsia="en-US" w:bidi="ar-SA"/>
      </w:rPr>
    </w:lvl>
    <w:lvl w:ilvl="8" w:tplc="8CFE6832">
      <w:numFmt w:val="bullet"/>
      <w:lvlText w:val="•"/>
      <w:lvlJc w:val="left"/>
      <w:pPr>
        <w:ind w:left="4844" w:hanging="360"/>
      </w:pPr>
      <w:rPr>
        <w:rFonts w:hint="default"/>
        <w:lang w:val="en-US" w:eastAsia="en-US" w:bidi="ar-SA"/>
      </w:rPr>
    </w:lvl>
  </w:abstractNum>
  <w:abstractNum w:abstractNumId="23" w15:restartNumberingAfterBreak="0">
    <w:nsid w:val="50187D9D"/>
    <w:multiLevelType w:val="hybridMultilevel"/>
    <w:tmpl w:val="8C88A642"/>
    <w:lvl w:ilvl="0" w:tplc="DC761840">
      <w:numFmt w:val="bullet"/>
      <w:lvlText w:val=""/>
      <w:lvlJc w:val="left"/>
      <w:pPr>
        <w:ind w:left="467" w:hanging="360"/>
      </w:pPr>
      <w:rPr>
        <w:rFonts w:ascii="Symbol" w:eastAsia="Symbol" w:hAnsi="Symbol" w:cs="Symbol" w:hint="default"/>
        <w:b w:val="0"/>
        <w:bCs w:val="0"/>
        <w:i w:val="0"/>
        <w:iCs w:val="0"/>
        <w:spacing w:val="0"/>
        <w:w w:val="100"/>
        <w:sz w:val="20"/>
        <w:szCs w:val="20"/>
        <w:lang w:val="en-US" w:eastAsia="en-US" w:bidi="ar-SA"/>
      </w:rPr>
    </w:lvl>
    <w:lvl w:ilvl="1" w:tplc="AA540588">
      <w:numFmt w:val="bullet"/>
      <w:lvlText w:val="•"/>
      <w:lvlJc w:val="left"/>
      <w:pPr>
        <w:ind w:left="1008" w:hanging="360"/>
      </w:pPr>
      <w:rPr>
        <w:rFonts w:hint="default"/>
        <w:lang w:val="en-US" w:eastAsia="en-US" w:bidi="ar-SA"/>
      </w:rPr>
    </w:lvl>
    <w:lvl w:ilvl="2" w:tplc="6C7EA262">
      <w:numFmt w:val="bullet"/>
      <w:lvlText w:val="•"/>
      <w:lvlJc w:val="left"/>
      <w:pPr>
        <w:ind w:left="1556" w:hanging="360"/>
      </w:pPr>
      <w:rPr>
        <w:rFonts w:hint="default"/>
        <w:lang w:val="en-US" w:eastAsia="en-US" w:bidi="ar-SA"/>
      </w:rPr>
    </w:lvl>
    <w:lvl w:ilvl="3" w:tplc="399C9CF8">
      <w:numFmt w:val="bullet"/>
      <w:lvlText w:val="•"/>
      <w:lvlJc w:val="left"/>
      <w:pPr>
        <w:ind w:left="2104" w:hanging="360"/>
      </w:pPr>
      <w:rPr>
        <w:rFonts w:hint="default"/>
        <w:lang w:val="en-US" w:eastAsia="en-US" w:bidi="ar-SA"/>
      </w:rPr>
    </w:lvl>
    <w:lvl w:ilvl="4" w:tplc="443AC7E6">
      <w:numFmt w:val="bullet"/>
      <w:lvlText w:val="•"/>
      <w:lvlJc w:val="left"/>
      <w:pPr>
        <w:ind w:left="2652" w:hanging="360"/>
      </w:pPr>
      <w:rPr>
        <w:rFonts w:hint="default"/>
        <w:lang w:val="en-US" w:eastAsia="en-US" w:bidi="ar-SA"/>
      </w:rPr>
    </w:lvl>
    <w:lvl w:ilvl="5" w:tplc="3D2E9062">
      <w:numFmt w:val="bullet"/>
      <w:lvlText w:val="•"/>
      <w:lvlJc w:val="left"/>
      <w:pPr>
        <w:ind w:left="3200" w:hanging="360"/>
      </w:pPr>
      <w:rPr>
        <w:rFonts w:hint="default"/>
        <w:lang w:val="en-US" w:eastAsia="en-US" w:bidi="ar-SA"/>
      </w:rPr>
    </w:lvl>
    <w:lvl w:ilvl="6" w:tplc="870C7168">
      <w:numFmt w:val="bullet"/>
      <w:lvlText w:val="•"/>
      <w:lvlJc w:val="left"/>
      <w:pPr>
        <w:ind w:left="3748" w:hanging="360"/>
      </w:pPr>
      <w:rPr>
        <w:rFonts w:hint="default"/>
        <w:lang w:val="en-US" w:eastAsia="en-US" w:bidi="ar-SA"/>
      </w:rPr>
    </w:lvl>
    <w:lvl w:ilvl="7" w:tplc="1FF0C528">
      <w:numFmt w:val="bullet"/>
      <w:lvlText w:val="•"/>
      <w:lvlJc w:val="left"/>
      <w:pPr>
        <w:ind w:left="4296" w:hanging="360"/>
      </w:pPr>
      <w:rPr>
        <w:rFonts w:hint="default"/>
        <w:lang w:val="en-US" w:eastAsia="en-US" w:bidi="ar-SA"/>
      </w:rPr>
    </w:lvl>
    <w:lvl w:ilvl="8" w:tplc="1DF480C0">
      <w:numFmt w:val="bullet"/>
      <w:lvlText w:val="•"/>
      <w:lvlJc w:val="left"/>
      <w:pPr>
        <w:ind w:left="4844" w:hanging="360"/>
      </w:pPr>
      <w:rPr>
        <w:rFonts w:hint="default"/>
        <w:lang w:val="en-US" w:eastAsia="en-US" w:bidi="ar-SA"/>
      </w:rPr>
    </w:lvl>
  </w:abstractNum>
  <w:abstractNum w:abstractNumId="24" w15:restartNumberingAfterBreak="0">
    <w:nsid w:val="52083891"/>
    <w:multiLevelType w:val="hybridMultilevel"/>
    <w:tmpl w:val="8FA8A8F2"/>
    <w:lvl w:ilvl="0" w:tplc="F6F0F928">
      <w:start w:val="1"/>
      <w:numFmt w:val="lowerLetter"/>
      <w:lvlText w:val="%1."/>
      <w:lvlJc w:val="left"/>
      <w:pPr>
        <w:ind w:left="1242" w:hanging="398"/>
        <w:jc w:val="left"/>
      </w:pPr>
      <w:rPr>
        <w:rFonts w:ascii="Calibri" w:eastAsia="Calibri" w:hAnsi="Calibri" w:cs="Calibri" w:hint="default"/>
        <w:b/>
        <w:bCs/>
        <w:i w:val="0"/>
        <w:iCs w:val="0"/>
        <w:spacing w:val="-1"/>
        <w:w w:val="99"/>
        <w:sz w:val="22"/>
        <w:szCs w:val="22"/>
        <w:lang w:val="en-US" w:eastAsia="en-US" w:bidi="ar-SA"/>
      </w:rPr>
    </w:lvl>
    <w:lvl w:ilvl="1" w:tplc="1E449EAE">
      <w:numFmt w:val="bullet"/>
      <w:lvlText w:val="•"/>
      <w:lvlJc w:val="left"/>
      <w:pPr>
        <w:ind w:left="2150" w:hanging="398"/>
      </w:pPr>
      <w:rPr>
        <w:rFonts w:hint="default"/>
        <w:lang w:val="en-US" w:eastAsia="en-US" w:bidi="ar-SA"/>
      </w:rPr>
    </w:lvl>
    <w:lvl w:ilvl="2" w:tplc="E030541C">
      <w:numFmt w:val="bullet"/>
      <w:lvlText w:val="•"/>
      <w:lvlJc w:val="left"/>
      <w:pPr>
        <w:ind w:left="3061" w:hanging="398"/>
      </w:pPr>
      <w:rPr>
        <w:rFonts w:hint="default"/>
        <w:lang w:val="en-US" w:eastAsia="en-US" w:bidi="ar-SA"/>
      </w:rPr>
    </w:lvl>
    <w:lvl w:ilvl="3" w:tplc="38E87CFE">
      <w:numFmt w:val="bullet"/>
      <w:lvlText w:val="•"/>
      <w:lvlJc w:val="left"/>
      <w:pPr>
        <w:ind w:left="3972" w:hanging="398"/>
      </w:pPr>
      <w:rPr>
        <w:rFonts w:hint="default"/>
        <w:lang w:val="en-US" w:eastAsia="en-US" w:bidi="ar-SA"/>
      </w:rPr>
    </w:lvl>
    <w:lvl w:ilvl="4" w:tplc="BB2E6DAC">
      <w:numFmt w:val="bullet"/>
      <w:lvlText w:val="•"/>
      <w:lvlJc w:val="left"/>
      <w:pPr>
        <w:ind w:left="4883" w:hanging="398"/>
      </w:pPr>
      <w:rPr>
        <w:rFonts w:hint="default"/>
        <w:lang w:val="en-US" w:eastAsia="en-US" w:bidi="ar-SA"/>
      </w:rPr>
    </w:lvl>
    <w:lvl w:ilvl="5" w:tplc="D9CC25DC">
      <w:numFmt w:val="bullet"/>
      <w:lvlText w:val="•"/>
      <w:lvlJc w:val="left"/>
      <w:pPr>
        <w:ind w:left="5794" w:hanging="398"/>
      </w:pPr>
      <w:rPr>
        <w:rFonts w:hint="default"/>
        <w:lang w:val="en-US" w:eastAsia="en-US" w:bidi="ar-SA"/>
      </w:rPr>
    </w:lvl>
    <w:lvl w:ilvl="6" w:tplc="BBB0082E">
      <w:numFmt w:val="bullet"/>
      <w:lvlText w:val="•"/>
      <w:lvlJc w:val="left"/>
      <w:pPr>
        <w:ind w:left="6705" w:hanging="398"/>
      </w:pPr>
      <w:rPr>
        <w:rFonts w:hint="default"/>
        <w:lang w:val="en-US" w:eastAsia="en-US" w:bidi="ar-SA"/>
      </w:rPr>
    </w:lvl>
    <w:lvl w:ilvl="7" w:tplc="4E72EC9E">
      <w:numFmt w:val="bullet"/>
      <w:lvlText w:val="•"/>
      <w:lvlJc w:val="left"/>
      <w:pPr>
        <w:ind w:left="7615" w:hanging="398"/>
      </w:pPr>
      <w:rPr>
        <w:rFonts w:hint="default"/>
        <w:lang w:val="en-US" w:eastAsia="en-US" w:bidi="ar-SA"/>
      </w:rPr>
    </w:lvl>
    <w:lvl w:ilvl="8" w:tplc="0434ACF4">
      <w:numFmt w:val="bullet"/>
      <w:lvlText w:val="•"/>
      <w:lvlJc w:val="left"/>
      <w:pPr>
        <w:ind w:left="8526" w:hanging="398"/>
      </w:pPr>
      <w:rPr>
        <w:rFonts w:hint="default"/>
        <w:lang w:val="en-US" w:eastAsia="en-US" w:bidi="ar-SA"/>
      </w:rPr>
    </w:lvl>
  </w:abstractNum>
  <w:abstractNum w:abstractNumId="25" w15:restartNumberingAfterBreak="0">
    <w:nsid w:val="52D20DB9"/>
    <w:multiLevelType w:val="hybridMultilevel"/>
    <w:tmpl w:val="51FE0E6C"/>
    <w:lvl w:ilvl="0" w:tplc="C024ACEC">
      <w:numFmt w:val="bullet"/>
      <w:lvlText w:val=""/>
      <w:lvlJc w:val="left"/>
      <w:pPr>
        <w:ind w:left="467" w:hanging="360"/>
      </w:pPr>
      <w:rPr>
        <w:rFonts w:ascii="Symbol" w:eastAsia="Symbol" w:hAnsi="Symbol" w:cs="Symbol" w:hint="default"/>
        <w:b w:val="0"/>
        <w:bCs w:val="0"/>
        <w:i w:val="0"/>
        <w:iCs w:val="0"/>
        <w:spacing w:val="0"/>
        <w:w w:val="100"/>
        <w:sz w:val="20"/>
        <w:szCs w:val="20"/>
        <w:lang w:val="en-US" w:eastAsia="en-US" w:bidi="ar-SA"/>
      </w:rPr>
    </w:lvl>
    <w:lvl w:ilvl="1" w:tplc="7432130C">
      <w:numFmt w:val="bullet"/>
      <w:lvlText w:val="•"/>
      <w:lvlJc w:val="left"/>
      <w:pPr>
        <w:ind w:left="1008" w:hanging="360"/>
      </w:pPr>
      <w:rPr>
        <w:rFonts w:hint="default"/>
        <w:lang w:val="en-US" w:eastAsia="en-US" w:bidi="ar-SA"/>
      </w:rPr>
    </w:lvl>
    <w:lvl w:ilvl="2" w:tplc="FEE8D92A">
      <w:numFmt w:val="bullet"/>
      <w:lvlText w:val="•"/>
      <w:lvlJc w:val="left"/>
      <w:pPr>
        <w:ind w:left="1556" w:hanging="360"/>
      </w:pPr>
      <w:rPr>
        <w:rFonts w:hint="default"/>
        <w:lang w:val="en-US" w:eastAsia="en-US" w:bidi="ar-SA"/>
      </w:rPr>
    </w:lvl>
    <w:lvl w:ilvl="3" w:tplc="B1F0C620">
      <w:numFmt w:val="bullet"/>
      <w:lvlText w:val="•"/>
      <w:lvlJc w:val="left"/>
      <w:pPr>
        <w:ind w:left="2104" w:hanging="360"/>
      </w:pPr>
      <w:rPr>
        <w:rFonts w:hint="default"/>
        <w:lang w:val="en-US" w:eastAsia="en-US" w:bidi="ar-SA"/>
      </w:rPr>
    </w:lvl>
    <w:lvl w:ilvl="4" w:tplc="52B0B844">
      <w:numFmt w:val="bullet"/>
      <w:lvlText w:val="•"/>
      <w:lvlJc w:val="left"/>
      <w:pPr>
        <w:ind w:left="2652" w:hanging="360"/>
      </w:pPr>
      <w:rPr>
        <w:rFonts w:hint="default"/>
        <w:lang w:val="en-US" w:eastAsia="en-US" w:bidi="ar-SA"/>
      </w:rPr>
    </w:lvl>
    <w:lvl w:ilvl="5" w:tplc="90EC2514">
      <w:numFmt w:val="bullet"/>
      <w:lvlText w:val="•"/>
      <w:lvlJc w:val="left"/>
      <w:pPr>
        <w:ind w:left="3200" w:hanging="360"/>
      </w:pPr>
      <w:rPr>
        <w:rFonts w:hint="default"/>
        <w:lang w:val="en-US" w:eastAsia="en-US" w:bidi="ar-SA"/>
      </w:rPr>
    </w:lvl>
    <w:lvl w:ilvl="6" w:tplc="D31EC134">
      <w:numFmt w:val="bullet"/>
      <w:lvlText w:val="•"/>
      <w:lvlJc w:val="left"/>
      <w:pPr>
        <w:ind w:left="3748" w:hanging="360"/>
      </w:pPr>
      <w:rPr>
        <w:rFonts w:hint="default"/>
        <w:lang w:val="en-US" w:eastAsia="en-US" w:bidi="ar-SA"/>
      </w:rPr>
    </w:lvl>
    <w:lvl w:ilvl="7" w:tplc="67A46784">
      <w:numFmt w:val="bullet"/>
      <w:lvlText w:val="•"/>
      <w:lvlJc w:val="left"/>
      <w:pPr>
        <w:ind w:left="4296" w:hanging="360"/>
      </w:pPr>
      <w:rPr>
        <w:rFonts w:hint="default"/>
        <w:lang w:val="en-US" w:eastAsia="en-US" w:bidi="ar-SA"/>
      </w:rPr>
    </w:lvl>
    <w:lvl w:ilvl="8" w:tplc="D368CC8C">
      <w:numFmt w:val="bullet"/>
      <w:lvlText w:val="•"/>
      <w:lvlJc w:val="left"/>
      <w:pPr>
        <w:ind w:left="4844" w:hanging="360"/>
      </w:pPr>
      <w:rPr>
        <w:rFonts w:hint="default"/>
        <w:lang w:val="en-US" w:eastAsia="en-US" w:bidi="ar-SA"/>
      </w:rPr>
    </w:lvl>
  </w:abstractNum>
  <w:abstractNum w:abstractNumId="26" w15:restartNumberingAfterBreak="0">
    <w:nsid w:val="5A3C6E94"/>
    <w:multiLevelType w:val="hybridMultilevel"/>
    <w:tmpl w:val="CC52EB8E"/>
    <w:lvl w:ilvl="0" w:tplc="572453A2">
      <w:numFmt w:val="bullet"/>
      <w:lvlText w:val=""/>
      <w:lvlJc w:val="left"/>
      <w:pPr>
        <w:ind w:left="467" w:hanging="360"/>
      </w:pPr>
      <w:rPr>
        <w:rFonts w:ascii="Symbol" w:eastAsia="Symbol" w:hAnsi="Symbol" w:cs="Symbol" w:hint="default"/>
        <w:b w:val="0"/>
        <w:bCs w:val="0"/>
        <w:i w:val="0"/>
        <w:iCs w:val="0"/>
        <w:spacing w:val="0"/>
        <w:w w:val="100"/>
        <w:sz w:val="20"/>
        <w:szCs w:val="20"/>
        <w:lang w:val="en-US" w:eastAsia="en-US" w:bidi="ar-SA"/>
      </w:rPr>
    </w:lvl>
    <w:lvl w:ilvl="1" w:tplc="E342EC16">
      <w:numFmt w:val="bullet"/>
      <w:lvlText w:val="•"/>
      <w:lvlJc w:val="left"/>
      <w:pPr>
        <w:ind w:left="1008" w:hanging="360"/>
      </w:pPr>
      <w:rPr>
        <w:rFonts w:hint="default"/>
        <w:lang w:val="en-US" w:eastAsia="en-US" w:bidi="ar-SA"/>
      </w:rPr>
    </w:lvl>
    <w:lvl w:ilvl="2" w:tplc="AD5E5E0E">
      <w:numFmt w:val="bullet"/>
      <w:lvlText w:val="•"/>
      <w:lvlJc w:val="left"/>
      <w:pPr>
        <w:ind w:left="1556" w:hanging="360"/>
      </w:pPr>
      <w:rPr>
        <w:rFonts w:hint="default"/>
        <w:lang w:val="en-US" w:eastAsia="en-US" w:bidi="ar-SA"/>
      </w:rPr>
    </w:lvl>
    <w:lvl w:ilvl="3" w:tplc="D3D8B04A">
      <w:numFmt w:val="bullet"/>
      <w:lvlText w:val="•"/>
      <w:lvlJc w:val="left"/>
      <w:pPr>
        <w:ind w:left="2104" w:hanging="360"/>
      </w:pPr>
      <w:rPr>
        <w:rFonts w:hint="default"/>
        <w:lang w:val="en-US" w:eastAsia="en-US" w:bidi="ar-SA"/>
      </w:rPr>
    </w:lvl>
    <w:lvl w:ilvl="4" w:tplc="99442EF6">
      <w:numFmt w:val="bullet"/>
      <w:lvlText w:val="•"/>
      <w:lvlJc w:val="left"/>
      <w:pPr>
        <w:ind w:left="2652" w:hanging="360"/>
      </w:pPr>
      <w:rPr>
        <w:rFonts w:hint="default"/>
        <w:lang w:val="en-US" w:eastAsia="en-US" w:bidi="ar-SA"/>
      </w:rPr>
    </w:lvl>
    <w:lvl w:ilvl="5" w:tplc="202E0ECE">
      <w:numFmt w:val="bullet"/>
      <w:lvlText w:val="•"/>
      <w:lvlJc w:val="left"/>
      <w:pPr>
        <w:ind w:left="3200" w:hanging="360"/>
      </w:pPr>
      <w:rPr>
        <w:rFonts w:hint="default"/>
        <w:lang w:val="en-US" w:eastAsia="en-US" w:bidi="ar-SA"/>
      </w:rPr>
    </w:lvl>
    <w:lvl w:ilvl="6" w:tplc="667E7A10">
      <w:numFmt w:val="bullet"/>
      <w:lvlText w:val="•"/>
      <w:lvlJc w:val="left"/>
      <w:pPr>
        <w:ind w:left="3748" w:hanging="360"/>
      </w:pPr>
      <w:rPr>
        <w:rFonts w:hint="default"/>
        <w:lang w:val="en-US" w:eastAsia="en-US" w:bidi="ar-SA"/>
      </w:rPr>
    </w:lvl>
    <w:lvl w:ilvl="7" w:tplc="40E4FABC">
      <w:numFmt w:val="bullet"/>
      <w:lvlText w:val="•"/>
      <w:lvlJc w:val="left"/>
      <w:pPr>
        <w:ind w:left="4296" w:hanging="360"/>
      </w:pPr>
      <w:rPr>
        <w:rFonts w:hint="default"/>
        <w:lang w:val="en-US" w:eastAsia="en-US" w:bidi="ar-SA"/>
      </w:rPr>
    </w:lvl>
    <w:lvl w:ilvl="8" w:tplc="8E42EB8C">
      <w:numFmt w:val="bullet"/>
      <w:lvlText w:val="•"/>
      <w:lvlJc w:val="left"/>
      <w:pPr>
        <w:ind w:left="4844" w:hanging="360"/>
      </w:pPr>
      <w:rPr>
        <w:rFonts w:hint="default"/>
        <w:lang w:val="en-US" w:eastAsia="en-US" w:bidi="ar-SA"/>
      </w:rPr>
    </w:lvl>
  </w:abstractNum>
  <w:abstractNum w:abstractNumId="27" w15:restartNumberingAfterBreak="0">
    <w:nsid w:val="5B2A233C"/>
    <w:multiLevelType w:val="hybridMultilevel"/>
    <w:tmpl w:val="E5CEA680"/>
    <w:lvl w:ilvl="0" w:tplc="EAE04002">
      <w:numFmt w:val="bullet"/>
      <w:lvlText w:val=""/>
      <w:lvlJc w:val="left"/>
      <w:pPr>
        <w:ind w:left="827" w:hanging="360"/>
      </w:pPr>
      <w:rPr>
        <w:rFonts w:ascii="Symbol" w:eastAsia="Symbol" w:hAnsi="Symbol" w:cs="Symbol" w:hint="default"/>
        <w:b w:val="0"/>
        <w:bCs w:val="0"/>
        <w:i w:val="0"/>
        <w:iCs w:val="0"/>
        <w:spacing w:val="0"/>
        <w:w w:val="99"/>
        <w:sz w:val="22"/>
        <w:szCs w:val="22"/>
        <w:lang w:val="en-US" w:eastAsia="en-US" w:bidi="ar-SA"/>
      </w:rPr>
    </w:lvl>
    <w:lvl w:ilvl="1" w:tplc="F104C7D4">
      <w:numFmt w:val="bullet"/>
      <w:lvlText w:val="•"/>
      <w:lvlJc w:val="left"/>
      <w:pPr>
        <w:ind w:left="1553" w:hanging="360"/>
      </w:pPr>
      <w:rPr>
        <w:rFonts w:hint="default"/>
        <w:lang w:val="en-US" w:eastAsia="en-US" w:bidi="ar-SA"/>
      </w:rPr>
    </w:lvl>
    <w:lvl w:ilvl="2" w:tplc="C2084772">
      <w:numFmt w:val="bullet"/>
      <w:lvlText w:val="•"/>
      <w:lvlJc w:val="left"/>
      <w:pPr>
        <w:ind w:left="2287" w:hanging="360"/>
      </w:pPr>
      <w:rPr>
        <w:rFonts w:hint="default"/>
        <w:lang w:val="en-US" w:eastAsia="en-US" w:bidi="ar-SA"/>
      </w:rPr>
    </w:lvl>
    <w:lvl w:ilvl="3" w:tplc="30BCE5BE">
      <w:numFmt w:val="bullet"/>
      <w:lvlText w:val="•"/>
      <w:lvlJc w:val="left"/>
      <w:pPr>
        <w:ind w:left="3021" w:hanging="360"/>
      </w:pPr>
      <w:rPr>
        <w:rFonts w:hint="default"/>
        <w:lang w:val="en-US" w:eastAsia="en-US" w:bidi="ar-SA"/>
      </w:rPr>
    </w:lvl>
    <w:lvl w:ilvl="4" w:tplc="523AF2E2">
      <w:numFmt w:val="bullet"/>
      <w:lvlText w:val="•"/>
      <w:lvlJc w:val="left"/>
      <w:pPr>
        <w:ind w:left="3755" w:hanging="360"/>
      </w:pPr>
      <w:rPr>
        <w:rFonts w:hint="default"/>
        <w:lang w:val="en-US" w:eastAsia="en-US" w:bidi="ar-SA"/>
      </w:rPr>
    </w:lvl>
    <w:lvl w:ilvl="5" w:tplc="6F3A71B0">
      <w:numFmt w:val="bullet"/>
      <w:lvlText w:val="•"/>
      <w:lvlJc w:val="left"/>
      <w:pPr>
        <w:ind w:left="4489" w:hanging="360"/>
      </w:pPr>
      <w:rPr>
        <w:rFonts w:hint="default"/>
        <w:lang w:val="en-US" w:eastAsia="en-US" w:bidi="ar-SA"/>
      </w:rPr>
    </w:lvl>
    <w:lvl w:ilvl="6" w:tplc="F0EC3228">
      <w:numFmt w:val="bullet"/>
      <w:lvlText w:val="•"/>
      <w:lvlJc w:val="left"/>
      <w:pPr>
        <w:ind w:left="5223" w:hanging="360"/>
      </w:pPr>
      <w:rPr>
        <w:rFonts w:hint="default"/>
        <w:lang w:val="en-US" w:eastAsia="en-US" w:bidi="ar-SA"/>
      </w:rPr>
    </w:lvl>
    <w:lvl w:ilvl="7" w:tplc="9CAE2A0E">
      <w:numFmt w:val="bullet"/>
      <w:lvlText w:val="•"/>
      <w:lvlJc w:val="left"/>
      <w:pPr>
        <w:ind w:left="5957" w:hanging="360"/>
      </w:pPr>
      <w:rPr>
        <w:rFonts w:hint="default"/>
        <w:lang w:val="en-US" w:eastAsia="en-US" w:bidi="ar-SA"/>
      </w:rPr>
    </w:lvl>
    <w:lvl w:ilvl="8" w:tplc="A9DAA550">
      <w:numFmt w:val="bullet"/>
      <w:lvlText w:val="•"/>
      <w:lvlJc w:val="left"/>
      <w:pPr>
        <w:ind w:left="6691" w:hanging="360"/>
      </w:pPr>
      <w:rPr>
        <w:rFonts w:hint="default"/>
        <w:lang w:val="en-US" w:eastAsia="en-US" w:bidi="ar-SA"/>
      </w:rPr>
    </w:lvl>
  </w:abstractNum>
  <w:abstractNum w:abstractNumId="28" w15:restartNumberingAfterBreak="0">
    <w:nsid w:val="60C52762"/>
    <w:multiLevelType w:val="hybridMultilevel"/>
    <w:tmpl w:val="46849E90"/>
    <w:lvl w:ilvl="0" w:tplc="A20C3286">
      <w:numFmt w:val="bullet"/>
      <w:lvlText w:val=""/>
      <w:lvlJc w:val="left"/>
      <w:pPr>
        <w:ind w:left="467" w:hanging="360"/>
      </w:pPr>
      <w:rPr>
        <w:rFonts w:ascii="Symbol" w:eastAsia="Symbol" w:hAnsi="Symbol" w:cs="Symbol" w:hint="default"/>
        <w:b w:val="0"/>
        <w:bCs w:val="0"/>
        <w:i w:val="0"/>
        <w:iCs w:val="0"/>
        <w:spacing w:val="0"/>
        <w:w w:val="100"/>
        <w:sz w:val="20"/>
        <w:szCs w:val="20"/>
        <w:lang w:val="en-US" w:eastAsia="en-US" w:bidi="ar-SA"/>
      </w:rPr>
    </w:lvl>
    <w:lvl w:ilvl="1" w:tplc="B4104C9E">
      <w:numFmt w:val="bullet"/>
      <w:lvlText w:val="•"/>
      <w:lvlJc w:val="left"/>
      <w:pPr>
        <w:ind w:left="1008" w:hanging="360"/>
      </w:pPr>
      <w:rPr>
        <w:rFonts w:hint="default"/>
        <w:lang w:val="en-US" w:eastAsia="en-US" w:bidi="ar-SA"/>
      </w:rPr>
    </w:lvl>
    <w:lvl w:ilvl="2" w:tplc="BECE8D5E">
      <w:numFmt w:val="bullet"/>
      <w:lvlText w:val="•"/>
      <w:lvlJc w:val="left"/>
      <w:pPr>
        <w:ind w:left="1556" w:hanging="360"/>
      </w:pPr>
      <w:rPr>
        <w:rFonts w:hint="default"/>
        <w:lang w:val="en-US" w:eastAsia="en-US" w:bidi="ar-SA"/>
      </w:rPr>
    </w:lvl>
    <w:lvl w:ilvl="3" w:tplc="FC0CE79A">
      <w:numFmt w:val="bullet"/>
      <w:lvlText w:val="•"/>
      <w:lvlJc w:val="left"/>
      <w:pPr>
        <w:ind w:left="2104" w:hanging="360"/>
      </w:pPr>
      <w:rPr>
        <w:rFonts w:hint="default"/>
        <w:lang w:val="en-US" w:eastAsia="en-US" w:bidi="ar-SA"/>
      </w:rPr>
    </w:lvl>
    <w:lvl w:ilvl="4" w:tplc="8B2ECF12">
      <w:numFmt w:val="bullet"/>
      <w:lvlText w:val="•"/>
      <w:lvlJc w:val="left"/>
      <w:pPr>
        <w:ind w:left="2652" w:hanging="360"/>
      </w:pPr>
      <w:rPr>
        <w:rFonts w:hint="default"/>
        <w:lang w:val="en-US" w:eastAsia="en-US" w:bidi="ar-SA"/>
      </w:rPr>
    </w:lvl>
    <w:lvl w:ilvl="5" w:tplc="5A4A52DE">
      <w:numFmt w:val="bullet"/>
      <w:lvlText w:val="•"/>
      <w:lvlJc w:val="left"/>
      <w:pPr>
        <w:ind w:left="3200" w:hanging="360"/>
      </w:pPr>
      <w:rPr>
        <w:rFonts w:hint="default"/>
        <w:lang w:val="en-US" w:eastAsia="en-US" w:bidi="ar-SA"/>
      </w:rPr>
    </w:lvl>
    <w:lvl w:ilvl="6" w:tplc="725835C0">
      <w:numFmt w:val="bullet"/>
      <w:lvlText w:val="•"/>
      <w:lvlJc w:val="left"/>
      <w:pPr>
        <w:ind w:left="3748" w:hanging="360"/>
      </w:pPr>
      <w:rPr>
        <w:rFonts w:hint="default"/>
        <w:lang w:val="en-US" w:eastAsia="en-US" w:bidi="ar-SA"/>
      </w:rPr>
    </w:lvl>
    <w:lvl w:ilvl="7" w:tplc="799838B2">
      <w:numFmt w:val="bullet"/>
      <w:lvlText w:val="•"/>
      <w:lvlJc w:val="left"/>
      <w:pPr>
        <w:ind w:left="4296" w:hanging="360"/>
      </w:pPr>
      <w:rPr>
        <w:rFonts w:hint="default"/>
        <w:lang w:val="en-US" w:eastAsia="en-US" w:bidi="ar-SA"/>
      </w:rPr>
    </w:lvl>
    <w:lvl w:ilvl="8" w:tplc="644660C4">
      <w:numFmt w:val="bullet"/>
      <w:lvlText w:val="•"/>
      <w:lvlJc w:val="left"/>
      <w:pPr>
        <w:ind w:left="4844" w:hanging="360"/>
      </w:pPr>
      <w:rPr>
        <w:rFonts w:hint="default"/>
        <w:lang w:val="en-US" w:eastAsia="en-US" w:bidi="ar-SA"/>
      </w:rPr>
    </w:lvl>
  </w:abstractNum>
  <w:abstractNum w:abstractNumId="29" w15:restartNumberingAfterBreak="0">
    <w:nsid w:val="68FB3FCC"/>
    <w:multiLevelType w:val="hybridMultilevel"/>
    <w:tmpl w:val="60D41F76"/>
    <w:lvl w:ilvl="0" w:tplc="63F66140">
      <w:start w:val="1"/>
      <w:numFmt w:val="decimal"/>
      <w:lvlText w:val="%1."/>
      <w:lvlJc w:val="left"/>
      <w:pPr>
        <w:ind w:left="22" w:hanging="216"/>
        <w:jc w:val="left"/>
      </w:pPr>
      <w:rPr>
        <w:rFonts w:ascii="Calibri" w:eastAsia="Calibri" w:hAnsi="Calibri" w:cs="Calibri" w:hint="default"/>
        <w:b w:val="0"/>
        <w:bCs w:val="0"/>
        <w:i w:val="0"/>
        <w:iCs w:val="0"/>
        <w:spacing w:val="0"/>
        <w:w w:val="99"/>
        <w:sz w:val="22"/>
        <w:szCs w:val="22"/>
        <w:lang w:val="en-US" w:eastAsia="en-US" w:bidi="ar-SA"/>
      </w:rPr>
    </w:lvl>
    <w:lvl w:ilvl="1" w:tplc="435204F2">
      <w:numFmt w:val="bullet"/>
      <w:lvlText w:val=""/>
      <w:lvlJc w:val="left"/>
      <w:pPr>
        <w:ind w:left="807" w:hanging="360"/>
      </w:pPr>
      <w:rPr>
        <w:rFonts w:ascii="Symbol" w:eastAsia="Symbol" w:hAnsi="Symbol" w:cs="Symbol" w:hint="default"/>
        <w:b w:val="0"/>
        <w:bCs w:val="0"/>
        <w:i w:val="0"/>
        <w:iCs w:val="0"/>
        <w:spacing w:val="0"/>
        <w:w w:val="99"/>
        <w:sz w:val="22"/>
        <w:szCs w:val="22"/>
        <w:lang w:val="en-US" w:eastAsia="en-US" w:bidi="ar-SA"/>
      </w:rPr>
    </w:lvl>
    <w:lvl w:ilvl="2" w:tplc="0A525096">
      <w:numFmt w:val="bullet"/>
      <w:lvlText w:val="•"/>
      <w:lvlJc w:val="left"/>
      <w:pPr>
        <w:ind w:left="1860" w:hanging="360"/>
      </w:pPr>
      <w:rPr>
        <w:rFonts w:hint="default"/>
        <w:lang w:val="en-US" w:eastAsia="en-US" w:bidi="ar-SA"/>
      </w:rPr>
    </w:lvl>
    <w:lvl w:ilvl="3" w:tplc="FC887FF8">
      <w:numFmt w:val="bullet"/>
      <w:lvlText w:val="•"/>
      <w:lvlJc w:val="left"/>
      <w:pPr>
        <w:ind w:left="2921" w:hanging="360"/>
      </w:pPr>
      <w:rPr>
        <w:rFonts w:hint="default"/>
        <w:lang w:val="en-US" w:eastAsia="en-US" w:bidi="ar-SA"/>
      </w:rPr>
    </w:lvl>
    <w:lvl w:ilvl="4" w:tplc="E034C4FE">
      <w:numFmt w:val="bullet"/>
      <w:lvlText w:val="•"/>
      <w:lvlJc w:val="left"/>
      <w:pPr>
        <w:ind w:left="3982" w:hanging="360"/>
      </w:pPr>
      <w:rPr>
        <w:rFonts w:hint="default"/>
        <w:lang w:val="en-US" w:eastAsia="en-US" w:bidi="ar-SA"/>
      </w:rPr>
    </w:lvl>
    <w:lvl w:ilvl="5" w:tplc="F81AC6CC">
      <w:numFmt w:val="bullet"/>
      <w:lvlText w:val="•"/>
      <w:lvlJc w:val="left"/>
      <w:pPr>
        <w:ind w:left="5043" w:hanging="360"/>
      </w:pPr>
      <w:rPr>
        <w:rFonts w:hint="default"/>
        <w:lang w:val="en-US" w:eastAsia="en-US" w:bidi="ar-SA"/>
      </w:rPr>
    </w:lvl>
    <w:lvl w:ilvl="6" w:tplc="F802F6C4">
      <w:numFmt w:val="bullet"/>
      <w:lvlText w:val="•"/>
      <w:lvlJc w:val="left"/>
      <w:pPr>
        <w:ind w:left="6104" w:hanging="360"/>
      </w:pPr>
      <w:rPr>
        <w:rFonts w:hint="default"/>
        <w:lang w:val="en-US" w:eastAsia="en-US" w:bidi="ar-SA"/>
      </w:rPr>
    </w:lvl>
    <w:lvl w:ilvl="7" w:tplc="76A40930">
      <w:numFmt w:val="bullet"/>
      <w:lvlText w:val="•"/>
      <w:lvlJc w:val="left"/>
      <w:pPr>
        <w:ind w:left="7165" w:hanging="360"/>
      </w:pPr>
      <w:rPr>
        <w:rFonts w:hint="default"/>
        <w:lang w:val="en-US" w:eastAsia="en-US" w:bidi="ar-SA"/>
      </w:rPr>
    </w:lvl>
    <w:lvl w:ilvl="8" w:tplc="E32E1700">
      <w:numFmt w:val="bullet"/>
      <w:lvlText w:val="•"/>
      <w:lvlJc w:val="left"/>
      <w:pPr>
        <w:ind w:left="8226" w:hanging="360"/>
      </w:pPr>
      <w:rPr>
        <w:rFonts w:hint="default"/>
        <w:lang w:val="en-US" w:eastAsia="en-US" w:bidi="ar-SA"/>
      </w:rPr>
    </w:lvl>
  </w:abstractNum>
  <w:abstractNum w:abstractNumId="30" w15:restartNumberingAfterBreak="0">
    <w:nsid w:val="6C4D0DB6"/>
    <w:multiLevelType w:val="hybridMultilevel"/>
    <w:tmpl w:val="7AC4521E"/>
    <w:lvl w:ilvl="0" w:tplc="ADF66902">
      <w:numFmt w:val="bullet"/>
      <w:lvlText w:val=""/>
      <w:lvlJc w:val="left"/>
      <w:pPr>
        <w:ind w:left="467" w:hanging="360"/>
      </w:pPr>
      <w:rPr>
        <w:rFonts w:ascii="Symbol" w:eastAsia="Symbol" w:hAnsi="Symbol" w:cs="Symbol" w:hint="default"/>
        <w:b w:val="0"/>
        <w:bCs w:val="0"/>
        <w:i w:val="0"/>
        <w:iCs w:val="0"/>
        <w:spacing w:val="0"/>
        <w:w w:val="100"/>
        <w:sz w:val="20"/>
        <w:szCs w:val="20"/>
        <w:lang w:val="en-US" w:eastAsia="en-US" w:bidi="ar-SA"/>
      </w:rPr>
    </w:lvl>
    <w:lvl w:ilvl="1" w:tplc="E94A7264">
      <w:numFmt w:val="bullet"/>
      <w:lvlText w:val="•"/>
      <w:lvlJc w:val="left"/>
      <w:pPr>
        <w:ind w:left="1008" w:hanging="360"/>
      </w:pPr>
      <w:rPr>
        <w:rFonts w:hint="default"/>
        <w:lang w:val="en-US" w:eastAsia="en-US" w:bidi="ar-SA"/>
      </w:rPr>
    </w:lvl>
    <w:lvl w:ilvl="2" w:tplc="04BA97AE">
      <w:numFmt w:val="bullet"/>
      <w:lvlText w:val="•"/>
      <w:lvlJc w:val="left"/>
      <w:pPr>
        <w:ind w:left="1556" w:hanging="360"/>
      </w:pPr>
      <w:rPr>
        <w:rFonts w:hint="default"/>
        <w:lang w:val="en-US" w:eastAsia="en-US" w:bidi="ar-SA"/>
      </w:rPr>
    </w:lvl>
    <w:lvl w:ilvl="3" w:tplc="5EA2D9E6">
      <w:numFmt w:val="bullet"/>
      <w:lvlText w:val="•"/>
      <w:lvlJc w:val="left"/>
      <w:pPr>
        <w:ind w:left="2104" w:hanging="360"/>
      </w:pPr>
      <w:rPr>
        <w:rFonts w:hint="default"/>
        <w:lang w:val="en-US" w:eastAsia="en-US" w:bidi="ar-SA"/>
      </w:rPr>
    </w:lvl>
    <w:lvl w:ilvl="4" w:tplc="DBC47F12">
      <w:numFmt w:val="bullet"/>
      <w:lvlText w:val="•"/>
      <w:lvlJc w:val="left"/>
      <w:pPr>
        <w:ind w:left="2652" w:hanging="360"/>
      </w:pPr>
      <w:rPr>
        <w:rFonts w:hint="default"/>
        <w:lang w:val="en-US" w:eastAsia="en-US" w:bidi="ar-SA"/>
      </w:rPr>
    </w:lvl>
    <w:lvl w:ilvl="5" w:tplc="57E45E72">
      <w:numFmt w:val="bullet"/>
      <w:lvlText w:val="•"/>
      <w:lvlJc w:val="left"/>
      <w:pPr>
        <w:ind w:left="3200" w:hanging="360"/>
      </w:pPr>
      <w:rPr>
        <w:rFonts w:hint="default"/>
        <w:lang w:val="en-US" w:eastAsia="en-US" w:bidi="ar-SA"/>
      </w:rPr>
    </w:lvl>
    <w:lvl w:ilvl="6" w:tplc="CC38FB36">
      <w:numFmt w:val="bullet"/>
      <w:lvlText w:val="•"/>
      <w:lvlJc w:val="left"/>
      <w:pPr>
        <w:ind w:left="3748" w:hanging="360"/>
      </w:pPr>
      <w:rPr>
        <w:rFonts w:hint="default"/>
        <w:lang w:val="en-US" w:eastAsia="en-US" w:bidi="ar-SA"/>
      </w:rPr>
    </w:lvl>
    <w:lvl w:ilvl="7" w:tplc="F092C752">
      <w:numFmt w:val="bullet"/>
      <w:lvlText w:val="•"/>
      <w:lvlJc w:val="left"/>
      <w:pPr>
        <w:ind w:left="4296" w:hanging="360"/>
      </w:pPr>
      <w:rPr>
        <w:rFonts w:hint="default"/>
        <w:lang w:val="en-US" w:eastAsia="en-US" w:bidi="ar-SA"/>
      </w:rPr>
    </w:lvl>
    <w:lvl w:ilvl="8" w:tplc="13666C0E">
      <w:numFmt w:val="bullet"/>
      <w:lvlText w:val="•"/>
      <w:lvlJc w:val="left"/>
      <w:pPr>
        <w:ind w:left="4844" w:hanging="360"/>
      </w:pPr>
      <w:rPr>
        <w:rFonts w:hint="default"/>
        <w:lang w:val="en-US" w:eastAsia="en-US" w:bidi="ar-SA"/>
      </w:rPr>
    </w:lvl>
  </w:abstractNum>
  <w:abstractNum w:abstractNumId="31" w15:restartNumberingAfterBreak="0">
    <w:nsid w:val="6FCF29EA"/>
    <w:multiLevelType w:val="hybridMultilevel"/>
    <w:tmpl w:val="4FD29B6C"/>
    <w:lvl w:ilvl="0" w:tplc="263E6070">
      <w:start w:val="1"/>
      <w:numFmt w:val="decimal"/>
      <w:lvlText w:val="%1."/>
      <w:lvlJc w:val="left"/>
      <w:pPr>
        <w:ind w:left="448" w:hanging="216"/>
        <w:jc w:val="left"/>
      </w:pPr>
      <w:rPr>
        <w:rFonts w:ascii="Calibri" w:eastAsia="Calibri" w:hAnsi="Calibri" w:cs="Calibri" w:hint="default"/>
        <w:b w:val="0"/>
        <w:bCs w:val="0"/>
        <w:i w:val="0"/>
        <w:iCs w:val="0"/>
        <w:spacing w:val="0"/>
        <w:w w:val="99"/>
        <w:sz w:val="22"/>
        <w:szCs w:val="22"/>
        <w:lang w:val="en-US" w:eastAsia="en-US" w:bidi="ar-SA"/>
      </w:rPr>
    </w:lvl>
    <w:lvl w:ilvl="1" w:tplc="3AE01E4A">
      <w:numFmt w:val="bullet"/>
      <w:lvlText w:val=""/>
      <w:lvlJc w:val="left"/>
      <w:pPr>
        <w:ind w:left="741" w:hanging="360"/>
      </w:pPr>
      <w:rPr>
        <w:rFonts w:ascii="Symbol" w:eastAsia="Symbol" w:hAnsi="Symbol" w:cs="Symbol" w:hint="default"/>
        <w:b w:val="0"/>
        <w:bCs w:val="0"/>
        <w:i w:val="0"/>
        <w:iCs w:val="0"/>
        <w:spacing w:val="0"/>
        <w:w w:val="99"/>
        <w:sz w:val="22"/>
        <w:szCs w:val="22"/>
        <w:lang w:val="en-US" w:eastAsia="en-US" w:bidi="ar-SA"/>
      </w:rPr>
    </w:lvl>
    <w:lvl w:ilvl="2" w:tplc="59F69238">
      <w:numFmt w:val="bullet"/>
      <w:lvlText w:val="•"/>
      <w:lvlJc w:val="left"/>
      <w:pPr>
        <w:ind w:left="1807" w:hanging="360"/>
      </w:pPr>
      <w:rPr>
        <w:rFonts w:hint="default"/>
        <w:lang w:val="en-US" w:eastAsia="en-US" w:bidi="ar-SA"/>
      </w:rPr>
    </w:lvl>
    <w:lvl w:ilvl="3" w:tplc="FF30A23E">
      <w:numFmt w:val="bullet"/>
      <w:lvlText w:val="•"/>
      <w:lvlJc w:val="left"/>
      <w:pPr>
        <w:ind w:left="2875" w:hanging="360"/>
      </w:pPr>
      <w:rPr>
        <w:rFonts w:hint="default"/>
        <w:lang w:val="en-US" w:eastAsia="en-US" w:bidi="ar-SA"/>
      </w:rPr>
    </w:lvl>
    <w:lvl w:ilvl="4" w:tplc="A8740892">
      <w:numFmt w:val="bullet"/>
      <w:lvlText w:val="•"/>
      <w:lvlJc w:val="left"/>
      <w:pPr>
        <w:ind w:left="3942" w:hanging="360"/>
      </w:pPr>
      <w:rPr>
        <w:rFonts w:hint="default"/>
        <w:lang w:val="en-US" w:eastAsia="en-US" w:bidi="ar-SA"/>
      </w:rPr>
    </w:lvl>
    <w:lvl w:ilvl="5" w:tplc="443AD41C">
      <w:numFmt w:val="bullet"/>
      <w:lvlText w:val="•"/>
      <w:lvlJc w:val="left"/>
      <w:pPr>
        <w:ind w:left="5010" w:hanging="360"/>
      </w:pPr>
      <w:rPr>
        <w:rFonts w:hint="default"/>
        <w:lang w:val="en-US" w:eastAsia="en-US" w:bidi="ar-SA"/>
      </w:rPr>
    </w:lvl>
    <w:lvl w:ilvl="6" w:tplc="C1125462">
      <w:numFmt w:val="bullet"/>
      <w:lvlText w:val="•"/>
      <w:lvlJc w:val="left"/>
      <w:pPr>
        <w:ind w:left="6078" w:hanging="360"/>
      </w:pPr>
      <w:rPr>
        <w:rFonts w:hint="default"/>
        <w:lang w:val="en-US" w:eastAsia="en-US" w:bidi="ar-SA"/>
      </w:rPr>
    </w:lvl>
    <w:lvl w:ilvl="7" w:tplc="877E5D3E">
      <w:numFmt w:val="bullet"/>
      <w:lvlText w:val="•"/>
      <w:lvlJc w:val="left"/>
      <w:pPr>
        <w:ind w:left="7145" w:hanging="360"/>
      </w:pPr>
      <w:rPr>
        <w:rFonts w:hint="default"/>
        <w:lang w:val="en-US" w:eastAsia="en-US" w:bidi="ar-SA"/>
      </w:rPr>
    </w:lvl>
    <w:lvl w:ilvl="8" w:tplc="AFA02598">
      <w:numFmt w:val="bullet"/>
      <w:lvlText w:val="•"/>
      <w:lvlJc w:val="left"/>
      <w:pPr>
        <w:ind w:left="8213" w:hanging="360"/>
      </w:pPr>
      <w:rPr>
        <w:rFonts w:hint="default"/>
        <w:lang w:val="en-US" w:eastAsia="en-US" w:bidi="ar-SA"/>
      </w:rPr>
    </w:lvl>
  </w:abstractNum>
  <w:abstractNum w:abstractNumId="32" w15:restartNumberingAfterBreak="0">
    <w:nsid w:val="73B534F5"/>
    <w:multiLevelType w:val="hybridMultilevel"/>
    <w:tmpl w:val="AFEC8AE4"/>
    <w:lvl w:ilvl="0" w:tplc="BA5E37E8">
      <w:numFmt w:val="bullet"/>
      <w:lvlText w:val=""/>
      <w:lvlJc w:val="left"/>
      <w:pPr>
        <w:ind w:left="467" w:hanging="360"/>
      </w:pPr>
      <w:rPr>
        <w:rFonts w:ascii="Symbol" w:eastAsia="Symbol" w:hAnsi="Symbol" w:cs="Symbol" w:hint="default"/>
        <w:b w:val="0"/>
        <w:bCs w:val="0"/>
        <w:i w:val="0"/>
        <w:iCs w:val="0"/>
        <w:spacing w:val="0"/>
        <w:w w:val="100"/>
        <w:sz w:val="20"/>
        <w:szCs w:val="20"/>
        <w:lang w:val="en-US" w:eastAsia="en-US" w:bidi="ar-SA"/>
      </w:rPr>
    </w:lvl>
    <w:lvl w:ilvl="1" w:tplc="29CCC330">
      <w:numFmt w:val="bullet"/>
      <w:lvlText w:val="•"/>
      <w:lvlJc w:val="left"/>
      <w:pPr>
        <w:ind w:left="1008" w:hanging="360"/>
      </w:pPr>
      <w:rPr>
        <w:rFonts w:hint="default"/>
        <w:lang w:val="en-US" w:eastAsia="en-US" w:bidi="ar-SA"/>
      </w:rPr>
    </w:lvl>
    <w:lvl w:ilvl="2" w:tplc="84CC03C0">
      <w:numFmt w:val="bullet"/>
      <w:lvlText w:val="•"/>
      <w:lvlJc w:val="left"/>
      <w:pPr>
        <w:ind w:left="1556" w:hanging="360"/>
      </w:pPr>
      <w:rPr>
        <w:rFonts w:hint="default"/>
        <w:lang w:val="en-US" w:eastAsia="en-US" w:bidi="ar-SA"/>
      </w:rPr>
    </w:lvl>
    <w:lvl w:ilvl="3" w:tplc="2FD20636">
      <w:numFmt w:val="bullet"/>
      <w:lvlText w:val="•"/>
      <w:lvlJc w:val="left"/>
      <w:pPr>
        <w:ind w:left="2104" w:hanging="360"/>
      </w:pPr>
      <w:rPr>
        <w:rFonts w:hint="default"/>
        <w:lang w:val="en-US" w:eastAsia="en-US" w:bidi="ar-SA"/>
      </w:rPr>
    </w:lvl>
    <w:lvl w:ilvl="4" w:tplc="8166A1BE">
      <w:numFmt w:val="bullet"/>
      <w:lvlText w:val="•"/>
      <w:lvlJc w:val="left"/>
      <w:pPr>
        <w:ind w:left="2652" w:hanging="360"/>
      </w:pPr>
      <w:rPr>
        <w:rFonts w:hint="default"/>
        <w:lang w:val="en-US" w:eastAsia="en-US" w:bidi="ar-SA"/>
      </w:rPr>
    </w:lvl>
    <w:lvl w:ilvl="5" w:tplc="A8B2346C">
      <w:numFmt w:val="bullet"/>
      <w:lvlText w:val="•"/>
      <w:lvlJc w:val="left"/>
      <w:pPr>
        <w:ind w:left="3200" w:hanging="360"/>
      </w:pPr>
      <w:rPr>
        <w:rFonts w:hint="default"/>
        <w:lang w:val="en-US" w:eastAsia="en-US" w:bidi="ar-SA"/>
      </w:rPr>
    </w:lvl>
    <w:lvl w:ilvl="6" w:tplc="7FD80A40">
      <w:numFmt w:val="bullet"/>
      <w:lvlText w:val="•"/>
      <w:lvlJc w:val="left"/>
      <w:pPr>
        <w:ind w:left="3748" w:hanging="360"/>
      </w:pPr>
      <w:rPr>
        <w:rFonts w:hint="default"/>
        <w:lang w:val="en-US" w:eastAsia="en-US" w:bidi="ar-SA"/>
      </w:rPr>
    </w:lvl>
    <w:lvl w:ilvl="7" w:tplc="BACEE6C2">
      <w:numFmt w:val="bullet"/>
      <w:lvlText w:val="•"/>
      <w:lvlJc w:val="left"/>
      <w:pPr>
        <w:ind w:left="4296" w:hanging="360"/>
      </w:pPr>
      <w:rPr>
        <w:rFonts w:hint="default"/>
        <w:lang w:val="en-US" w:eastAsia="en-US" w:bidi="ar-SA"/>
      </w:rPr>
    </w:lvl>
    <w:lvl w:ilvl="8" w:tplc="5DEEE5F4">
      <w:numFmt w:val="bullet"/>
      <w:lvlText w:val="•"/>
      <w:lvlJc w:val="left"/>
      <w:pPr>
        <w:ind w:left="4844" w:hanging="360"/>
      </w:pPr>
      <w:rPr>
        <w:rFonts w:hint="default"/>
        <w:lang w:val="en-US" w:eastAsia="en-US" w:bidi="ar-SA"/>
      </w:rPr>
    </w:lvl>
  </w:abstractNum>
  <w:abstractNum w:abstractNumId="33" w15:restartNumberingAfterBreak="0">
    <w:nsid w:val="7D354070"/>
    <w:multiLevelType w:val="hybridMultilevel"/>
    <w:tmpl w:val="8B14FB3A"/>
    <w:lvl w:ilvl="0" w:tplc="87CE8BA6">
      <w:numFmt w:val="bullet"/>
      <w:lvlText w:val=""/>
      <w:lvlJc w:val="left"/>
      <w:pPr>
        <w:ind w:left="467" w:hanging="360"/>
      </w:pPr>
      <w:rPr>
        <w:rFonts w:ascii="Symbol" w:eastAsia="Symbol" w:hAnsi="Symbol" w:cs="Symbol" w:hint="default"/>
        <w:b w:val="0"/>
        <w:bCs w:val="0"/>
        <w:i w:val="0"/>
        <w:iCs w:val="0"/>
        <w:spacing w:val="0"/>
        <w:w w:val="100"/>
        <w:sz w:val="20"/>
        <w:szCs w:val="20"/>
        <w:lang w:val="en-US" w:eastAsia="en-US" w:bidi="ar-SA"/>
      </w:rPr>
    </w:lvl>
    <w:lvl w:ilvl="1" w:tplc="D5B40CB2">
      <w:numFmt w:val="bullet"/>
      <w:lvlText w:val="•"/>
      <w:lvlJc w:val="left"/>
      <w:pPr>
        <w:ind w:left="1008" w:hanging="360"/>
      </w:pPr>
      <w:rPr>
        <w:rFonts w:hint="default"/>
        <w:lang w:val="en-US" w:eastAsia="en-US" w:bidi="ar-SA"/>
      </w:rPr>
    </w:lvl>
    <w:lvl w:ilvl="2" w:tplc="5220096A">
      <w:numFmt w:val="bullet"/>
      <w:lvlText w:val="•"/>
      <w:lvlJc w:val="left"/>
      <w:pPr>
        <w:ind w:left="1556" w:hanging="360"/>
      </w:pPr>
      <w:rPr>
        <w:rFonts w:hint="default"/>
        <w:lang w:val="en-US" w:eastAsia="en-US" w:bidi="ar-SA"/>
      </w:rPr>
    </w:lvl>
    <w:lvl w:ilvl="3" w:tplc="6D9EE954">
      <w:numFmt w:val="bullet"/>
      <w:lvlText w:val="•"/>
      <w:lvlJc w:val="left"/>
      <w:pPr>
        <w:ind w:left="2104" w:hanging="360"/>
      </w:pPr>
      <w:rPr>
        <w:rFonts w:hint="default"/>
        <w:lang w:val="en-US" w:eastAsia="en-US" w:bidi="ar-SA"/>
      </w:rPr>
    </w:lvl>
    <w:lvl w:ilvl="4" w:tplc="D932FFA2">
      <w:numFmt w:val="bullet"/>
      <w:lvlText w:val="•"/>
      <w:lvlJc w:val="left"/>
      <w:pPr>
        <w:ind w:left="2652" w:hanging="360"/>
      </w:pPr>
      <w:rPr>
        <w:rFonts w:hint="default"/>
        <w:lang w:val="en-US" w:eastAsia="en-US" w:bidi="ar-SA"/>
      </w:rPr>
    </w:lvl>
    <w:lvl w:ilvl="5" w:tplc="7C5A09F2">
      <w:numFmt w:val="bullet"/>
      <w:lvlText w:val="•"/>
      <w:lvlJc w:val="left"/>
      <w:pPr>
        <w:ind w:left="3200" w:hanging="360"/>
      </w:pPr>
      <w:rPr>
        <w:rFonts w:hint="default"/>
        <w:lang w:val="en-US" w:eastAsia="en-US" w:bidi="ar-SA"/>
      </w:rPr>
    </w:lvl>
    <w:lvl w:ilvl="6" w:tplc="C4D81F78">
      <w:numFmt w:val="bullet"/>
      <w:lvlText w:val="•"/>
      <w:lvlJc w:val="left"/>
      <w:pPr>
        <w:ind w:left="3748" w:hanging="360"/>
      </w:pPr>
      <w:rPr>
        <w:rFonts w:hint="default"/>
        <w:lang w:val="en-US" w:eastAsia="en-US" w:bidi="ar-SA"/>
      </w:rPr>
    </w:lvl>
    <w:lvl w:ilvl="7" w:tplc="A9AA5BD8">
      <w:numFmt w:val="bullet"/>
      <w:lvlText w:val="•"/>
      <w:lvlJc w:val="left"/>
      <w:pPr>
        <w:ind w:left="4296" w:hanging="360"/>
      </w:pPr>
      <w:rPr>
        <w:rFonts w:hint="default"/>
        <w:lang w:val="en-US" w:eastAsia="en-US" w:bidi="ar-SA"/>
      </w:rPr>
    </w:lvl>
    <w:lvl w:ilvl="8" w:tplc="FB3A9C3A">
      <w:numFmt w:val="bullet"/>
      <w:lvlText w:val="•"/>
      <w:lvlJc w:val="left"/>
      <w:pPr>
        <w:ind w:left="4844" w:hanging="360"/>
      </w:pPr>
      <w:rPr>
        <w:rFonts w:hint="default"/>
        <w:lang w:val="en-US" w:eastAsia="en-US" w:bidi="ar-SA"/>
      </w:rPr>
    </w:lvl>
  </w:abstractNum>
  <w:num w:numId="1" w16cid:durableId="939483267">
    <w:abstractNumId w:val="6"/>
  </w:num>
  <w:num w:numId="2" w16cid:durableId="1946843856">
    <w:abstractNumId w:val="28"/>
  </w:num>
  <w:num w:numId="3" w16cid:durableId="722488999">
    <w:abstractNumId w:val="2"/>
  </w:num>
  <w:num w:numId="4" w16cid:durableId="236983029">
    <w:abstractNumId w:val="30"/>
  </w:num>
  <w:num w:numId="5" w16cid:durableId="432943286">
    <w:abstractNumId w:val="32"/>
  </w:num>
  <w:num w:numId="6" w16cid:durableId="2097821726">
    <w:abstractNumId w:val="12"/>
  </w:num>
  <w:num w:numId="7" w16cid:durableId="1505166741">
    <w:abstractNumId w:val="19"/>
  </w:num>
  <w:num w:numId="8" w16cid:durableId="1310398464">
    <w:abstractNumId w:val="13"/>
  </w:num>
  <w:num w:numId="9" w16cid:durableId="723988011">
    <w:abstractNumId w:val="23"/>
  </w:num>
  <w:num w:numId="10" w16cid:durableId="420613308">
    <w:abstractNumId w:val="21"/>
  </w:num>
  <w:num w:numId="11" w16cid:durableId="795567919">
    <w:abstractNumId w:val="5"/>
  </w:num>
  <w:num w:numId="12" w16cid:durableId="682826319">
    <w:abstractNumId w:val="8"/>
  </w:num>
  <w:num w:numId="13" w16cid:durableId="946429543">
    <w:abstractNumId w:val="16"/>
  </w:num>
  <w:num w:numId="14" w16cid:durableId="582223380">
    <w:abstractNumId w:val="3"/>
  </w:num>
  <w:num w:numId="15" w16cid:durableId="1206524542">
    <w:abstractNumId w:val="25"/>
  </w:num>
  <w:num w:numId="16" w16cid:durableId="1891073236">
    <w:abstractNumId w:val="22"/>
  </w:num>
  <w:num w:numId="17" w16cid:durableId="521095767">
    <w:abstractNumId w:val="17"/>
  </w:num>
  <w:num w:numId="18" w16cid:durableId="49812015">
    <w:abstractNumId w:val="0"/>
  </w:num>
  <w:num w:numId="19" w16cid:durableId="1502820280">
    <w:abstractNumId w:val="7"/>
  </w:num>
  <w:num w:numId="20" w16cid:durableId="1275092020">
    <w:abstractNumId w:val="15"/>
  </w:num>
  <w:num w:numId="21" w16cid:durableId="1501777298">
    <w:abstractNumId w:val="26"/>
  </w:num>
  <w:num w:numId="22" w16cid:durableId="1359355247">
    <w:abstractNumId w:val="33"/>
  </w:num>
  <w:num w:numId="23" w16cid:durableId="2146316705">
    <w:abstractNumId w:val="29"/>
  </w:num>
  <w:num w:numId="24" w16cid:durableId="920718339">
    <w:abstractNumId w:val="4"/>
  </w:num>
  <w:num w:numId="25" w16cid:durableId="2131707730">
    <w:abstractNumId w:val="10"/>
  </w:num>
  <w:num w:numId="26" w16cid:durableId="1290167772">
    <w:abstractNumId w:val="9"/>
  </w:num>
  <w:num w:numId="27" w16cid:durableId="2029596018">
    <w:abstractNumId w:val="1"/>
  </w:num>
  <w:num w:numId="28" w16cid:durableId="1668052094">
    <w:abstractNumId w:val="27"/>
  </w:num>
  <w:num w:numId="29" w16cid:durableId="578369192">
    <w:abstractNumId w:val="14"/>
  </w:num>
  <w:num w:numId="30" w16cid:durableId="1350715263">
    <w:abstractNumId w:val="24"/>
  </w:num>
  <w:num w:numId="31" w16cid:durableId="915044256">
    <w:abstractNumId w:val="20"/>
  </w:num>
  <w:num w:numId="32" w16cid:durableId="1748964224">
    <w:abstractNumId w:val="18"/>
  </w:num>
  <w:num w:numId="33" w16cid:durableId="8220167">
    <w:abstractNumId w:val="31"/>
  </w:num>
  <w:num w:numId="34" w16cid:durableId="1194879040">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defaultTabStop w:val="720"/>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83D15"/>
    <w:rsid w:val="002A2154"/>
    <w:rsid w:val="003B297C"/>
    <w:rsid w:val="00483D15"/>
    <w:rsid w:val="006340C0"/>
    <w:rsid w:val="00765A42"/>
    <w:rsid w:val="00DD62D6"/>
    <w:rsid w:val="00F22427"/>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7959E36"/>
  <w15:docId w15:val="{C2F549E4-FB0E-4F04-8828-0297E135743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Calibri" w:eastAsia="Calibri" w:hAnsi="Calibri" w:cs="Calibri"/>
    </w:rPr>
  </w:style>
  <w:style w:type="paragraph" w:styleId="Heading1">
    <w:name w:val="heading 1"/>
    <w:basedOn w:val="Normal"/>
    <w:uiPriority w:val="9"/>
    <w:qFormat/>
    <w:pPr>
      <w:spacing w:before="61"/>
      <w:ind w:left="448"/>
      <w:outlineLvl w:val="0"/>
    </w:pPr>
    <w:rPr>
      <w:rFonts w:ascii="Arial" w:eastAsia="Arial" w:hAnsi="Arial" w:cs="Arial"/>
      <w:b/>
      <w:bCs/>
      <w:sz w:val="28"/>
      <w:szCs w:val="28"/>
    </w:rPr>
  </w:style>
  <w:style w:type="paragraph" w:styleId="Heading2">
    <w:name w:val="heading 2"/>
    <w:basedOn w:val="Normal"/>
    <w:uiPriority w:val="9"/>
    <w:unhideWhenUsed/>
    <w:qFormat/>
    <w:pPr>
      <w:spacing w:before="81"/>
      <w:ind w:left="22"/>
      <w:outlineLvl w:val="1"/>
    </w:pPr>
    <w:rPr>
      <w:rFonts w:ascii="Arial" w:eastAsia="Arial" w:hAnsi="Arial" w:cs="Arial"/>
      <w:b/>
      <w:bCs/>
      <w:sz w:val="26"/>
      <w:szCs w:val="26"/>
    </w:rPr>
  </w:style>
  <w:style w:type="paragraph" w:styleId="Heading3">
    <w:name w:val="heading 3"/>
    <w:basedOn w:val="Normal"/>
    <w:uiPriority w:val="9"/>
    <w:unhideWhenUsed/>
    <w:qFormat/>
    <w:pPr>
      <w:spacing w:before="82"/>
      <w:ind w:left="22"/>
      <w:outlineLvl w:val="2"/>
    </w:pPr>
    <w:rPr>
      <w:rFonts w:ascii="Arial" w:eastAsia="Arial" w:hAnsi="Arial" w:cs="Arial"/>
      <w:sz w:val="24"/>
      <w:szCs w:val="24"/>
    </w:rPr>
  </w:style>
  <w:style w:type="paragraph" w:styleId="Heading4">
    <w:name w:val="heading 4"/>
    <w:basedOn w:val="Normal"/>
    <w:uiPriority w:val="9"/>
    <w:unhideWhenUsed/>
    <w:qFormat/>
    <w:pPr>
      <w:ind w:left="447"/>
      <w:outlineLvl w:val="3"/>
    </w:pPr>
    <w:rPr>
      <w:b/>
      <w:b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style>
  <w:style w:type="paragraph" w:styleId="Title">
    <w:name w:val="Title"/>
    <w:basedOn w:val="Normal"/>
    <w:uiPriority w:val="10"/>
    <w:qFormat/>
    <w:pPr>
      <w:ind w:left="2716" w:right="923"/>
    </w:pPr>
    <w:rPr>
      <w:rFonts w:ascii="Arial" w:eastAsia="Arial" w:hAnsi="Arial" w:cs="Arial"/>
      <w:b/>
      <w:bCs/>
      <w:sz w:val="48"/>
      <w:szCs w:val="48"/>
    </w:rPr>
  </w:style>
  <w:style w:type="paragraph" w:styleId="ListParagraph">
    <w:name w:val="List Paragraph"/>
    <w:basedOn w:val="Normal"/>
    <w:uiPriority w:val="1"/>
    <w:qFormat/>
    <w:pPr>
      <w:spacing w:before="120"/>
      <w:ind w:left="807" w:hanging="360"/>
    </w:pPr>
  </w:style>
  <w:style w:type="paragraph" w:customStyle="1" w:styleId="TableParagraph">
    <w:name w:val="Table Paragraph"/>
    <w:basedOn w:val="Normal"/>
    <w:uiPriority w:val="1"/>
    <w:qFormat/>
    <w:pPr>
      <w:ind w:left="84"/>
    </w:pPr>
  </w:style>
  <w:style w:type="paragraph" w:styleId="Header">
    <w:name w:val="header"/>
    <w:basedOn w:val="Normal"/>
    <w:link w:val="HeaderChar"/>
    <w:uiPriority w:val="99"/>
    <w:unhideWhenUsed/>
    <w:rsid w:val="00765A42"/>
    <w:pPr>
      <w:tabs>
        <w:tab w:val="center" w:pos="4513"/>
        <w:tab w:val="right" w:pos="9026"/>
      </w:tabs>
    </w:pPr>
  </w:style>
  <w:style w:type="character" w:customStyle="1" w:styleId="HeaderChar">
    <w:name w:val="Header Char"/>
    <w:basedOn w:val="DefaultParagraphFont"/>
    <w:link w:val="Header"/>
    <w:uiPriority w:val="99"/>
    <w:rsid w:val="00765A42"/>
    <w:rPr>
      <w:rFonts w:ascii="Calibri" w:eastAsia="Calibri" w:hAnsi="Calibri" w:cs="Calibri"/>
    </w:rPr>
  </w:style>
  <w:style w:type="paragraph" w:styleId="Footer">
    <w:name w:val="footer"/>
    <w:basedOn w:val="Normal"/>
    <w:link w:val="FooterChar"/>
    <w:uiPriority w:val="99"/>
    <w:unhideWhenUsed/>
    <w:rsid w:val="00765A42"/>
    <w:pPr>
      <w:tabs>
        <w:tab w:val="center" w:pos="4513"/>
        <w:tab w:val="right" w:pos="9026"/>
      </w:tabs>
    </w:pPr>
  </w:style>
  <w:style w:type="character" w:customStyle="1" w:styleId="FooterChar">
    <w:name w:val="Footer Char"/>
    <w:basedOn w:val="DefaultParagraphFont"/>
    <w:link w:val="Footer"/>
    <w:uiPriority w:val="99"/>
    <w:rsid w:val="00765A42"/>
    <w:rPr>
      <w:rFonts w:ascii="Calibri" w:eastAsia="Calibri" w:hAnsi="Calibri" w:cs="Calibri"/>
    </w:rPr>
  </w:style>
  <w:style w:type="table" w:styleId="TableGrid">
    <w:name w:val="Table Grid"/>
    <w:basedOn w:val="TableNormal"/>
    <w:uiPriority w:val="39"/>
    <w:rsid w:val="00765A4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Caption">
    <w:name w:val="caption"/>
    <w:basedOn w:val="Normal"/>
    <w:next w:val="Normal"/>
    <w:uiPriority w:val="35"/>
    <w:unhideWhenUsed/>
    <w:qFormat/>
    <w:rsid w:val="00765A42"/>
    <w:pPr>
      <w:spacing w:after="200"/>
    </w:pPr>
    <w:rPr>
      <w:iCs/>
      <w:color w:val="000000" w:themeColor="text1"/>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hyperlink" Target="https://www.environment.gov.au/system/files/pages/43badfb2-b8be-4a10-a5b9-feab2d38a5d2/files/nsw-bilateral-agreement-amending-agreement.pdf" TargetMode="External"/><Relationship Id="rId18" Type="http://schemas.openxmlformats.org/officeDocument/2006/relationships/hyperlink" Target="https://www.environment.gov.au/epbc/single-touch-approvals" TargetMode="External"/><Relationship Id="rId26" Type="http://schemas.openxmlformats.org/officeDocument/2006/relationships/customXml" Target="../customXml/item5.xml"/><Relationship Id="rId3" Type="http://schemas.openxmlformats.org/officeDocument/2006/relationships/styles" Target="styles.xml"/><Relationship Id="rId21"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footer" Target="footer3.xml"/><Relationship Id="rId17" Type="http://schemas.openxmlformats.org/officeDocument/2006/relationships/hyperlink" Target="https://www.environment.nsw.gov.au/topics/animals-and-plants/biodiversity/assessment-bilateral-agreement" TargetMode="External"/><Relationship Id="rId25" Type="http://schemas.openxmlformats.org/officeDocument/2006/relationships/customXml" Target="../customXml/item4.xml"/><Relationship Id="rId2" Type="http://schemas.openxmlformats.org/officeDocument/2006/relationships/numbering" Target="numbering.xml"/><Relationship Id="rId16" Type="http://schemas.openxmlformats.org/officeDocument/2006/relationships/hyperlink" Target="https://www.environment.nsw.gov.au/topics/animals-and-plants/biodiversity/assessment-bilateral-agreement" TargetMode="External"/><Relationship Id="rId20" Type="http://schemas.openxmlformats.org/officeDocument/2006/relationships/image" Target="media/image2.pn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24" Type="http://schemas.openxmlformats.org/officeDocument/2006/relationships/customXml" Target="../customXml/item3.xml"/><Relationship Id="rId5" Type="http://schemas.openxmlformats.org/officeDocument/2006/relationships/webSettings" Target="webSettings.xml"/><Relationship Id="rId15" Type="http://schemas.openxmlformats.org/officeDocument/2006/relationships/hyperlink" Target="https://www.environment.gov.au/system/files/pages/43badfb2-b8be-4a10-a5b9-feab2d38a5d2/files/transitional-review-strategic-assessment-nsw.pdf" TargetMode="External"/><Relationship Id="rId23" Type="http://schemas.openxmlformats.org/officeDocument/2006/relationships/customXml" Target="../customXml/item2.xml"/><Relationship Id="rId10" Type="http://schemas.openxmlformats.org/officeDocument/2006/relationships/footer" Target="footer2.xml"/><Relationship Id="rId19" Type="http://schemas.openxmlformats.org/officeDocument/2006/relationships/image" Target="media/image1.png"/><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hyperlink" Target="https://www.environment.gov.au/system/files/pages/43badfb2-b8be-4a10-a5b9-feab2d38a5d2/files/nsw-bilateral-agreement-amending-agreement.pdf" TargetMode="External"/><Relationship Id="rId22"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 ma:contentTypeID="0x010100D001B2BE74D025469E1D0E28F10DD2C8" ma:contentTypeVersion="7" ma:contentTypeDescription="Create a new document." ma:contentTypeScope="" ma:versionID="9b3ee014a3f95b45de0e8033c0152949">
  <xsd:schema xmlns:xsd="http://www.w3.org/2001/XMLSchema" xmlns:xs="http://www.w3.org/2001/XMLSchema" xmlns:p="http://schemas.microsoft.com/office/2006/metadata/properties" xmlns:ns1="http://schemas.microsoft.com/sharepoint/v3" xmlns:ns2="b98728ac-f998-415c-abee-6b046fb1441e" xmlns:ns3="d869c146-c82e-4435-92e4-da91542262fd" xmlns:ns4="d81c2681-db7b-4a56-9abd-a3238a78f6b2" xmlns:ns5="e8238601-ce47-4778-85d0-8b1d6564965a" xmlns:ns6="a95247a4-6a6b-40fb-87b6-0fb2f012c536" targetNamespace="http://schemas.microsoft.com/office/2006/metadata/properties" ma:root="true" ma:fieldsID="57209179091c5eaa0799192d994203f5" ns1:_="" ns2:_="" ns3:_="" ns4:_="" ns5:_="" ns6:_="">
    <xsd:import namespace="http://schemas.microsoft.com/sharepoint/v3"/>
    <xsd:import namespace="b98728ac-f998-415c-abee-6b046fb1441e"/>
    <xsd:import namespace="d869c146-c82e-4435-92e4-da91542262fd"/>
    <xsd:import namespace="d81c2681-db7b-4a56-9abd-a3238a78f6b2"/>
    <xsd:import namespace="e8238601-ce47-4778-85d0-8b1d6564965a"/>
    <xsd:import namespace="a95247a4-6a6b-40fb-87b6-0fb2f012c536"/>
    <xsd:element name="properties">
      <xsd:complexType>
        <xsd:sequence>
          <xsd:element name="documentManagement">
            <xsd:complexType>
              <xsd:all>
                <xsd:element ref="ns2:MediaServiceMetadata" minOccurs="0"/>
                <xsd:element ref="ns2:MediaServiceFastMetadata" minOccurs="0"/>
                <xsd:element ref="ns2:MediaServiceGenerationTime" minOccurs="0"/>
                <xsd:element ref="ns2:MediaServiceEventHashCode" minOccurs="0"/>
                <xsd:element ref="ns2:MediaServiceOCR" minOccurs="0"/>
                <xsd:element ref="ns2:MediaServiceDateTaken" minOccurs="0"/>
                <xsd:element ref="ns3:SharedWithUsers" minOccurs="0"/>
                <xsd:element ref="ns3:SharedWithDetails" minOccurs="0"/>
                <xsd:element ref="ns2:MediaServiceLocation" minOccurs="0"/>
                <xsd:element ref="ns2:MediaServiceObjectDetectorVersions" minOccurs="0"/>
                <xsd:element ref="ns2:MediaLengthInSeconds" minOccurs="0"/>
                <xsd:element ref="ns2:MediaServiceSearchProperties" minOccurs="0"/>
                <xsd:element ref="ns1:_ip_UnifiedCompliancePolicyProperties" minOccurs="0"/>
                <xsd:element ref="ns1:_ip_UnifiedCompliancePolicyUIAction" minOccurs="0"/>
                <xsd:element ref="ns4:lcf76f155ced4ddcb4097134ff3c332f" minOccurs="0"/>
                <xsd:element ref="ns5:TaxCatchAll" minOccurs="0"/>
                <xsd:element ref="ns4:MediaServiceBillingMetadata" minOccurs="0"/>
                <xsd:element ref="ns6:_dlc_DocId" minOccurs="0"/>
                <xsd:element ref="ns6:_dlc_DocIdUrl" minOccurs="0"/>
                <xsd:element ref="ns6:_dlc_DocIdPersistId"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20" nillable="true" ma:displayName="Unified Compliance Policy Properties" ma:hidden="true" ma:internalName="_ip_UnifiedCompliancePolicyProperties">
      <xsd:simpleType>
        <xsd:restriction base="dms:Note"/>
      </xsd:simpleType>
    </xsd:element>
    <xsd:element name="_ip_UnifiedCompliancePolicyUIAction" ma:index="21"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b98728ac-f998-415c-abee-6b046fb1441e"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GenerationTime" ma:index="10" nillable="true" ma:displayName="MediaServiceGenerationTime" ma:hidden="true" ma:internalName="MediaServiceGenerationTime" ma:readOnly="true">
      <xsd:simpleType>
        <xsd:restriction base="dms:Text"/>
      </xsd:simpleType>
    </xsd:element>
    <xsd:element name="MediaServiceEventHashCode" ma:index="11" nillable="true" ma:displayName="MediaServiceEventHashCode" ma:hidden="true" ma:internalName="MediaServiceEventHashCode" ma:readOnly="true">
      <xsd:simpleType>
        <xsd:restriction base="dms:Text"/>
      </xsd:simpleType>
    </xsd:element>
    <xsd:element name="MediaServiceOCR" ma:index="12" nillable="true" ma:displayName="Extracted Text" ma:internalName="MediaServiceOCR" ma:readOnly="true">
      <xsd:simpleType>
        <xsd:restriction base="dms:Note">
          <xsd:maxLength value="255"/>
        </xsd:restriction>
      </xsd:simpleType>
    </xsd:element>
    <xsd:element name="MediaServiceDateTaken" ma:index="13" nillable="true" ma:displayName="MediaServiceDateTaken" ma:hidden="true" ma:indexed="true" ma:internalName="MediaServiceDateTaken" ma:readOnly="true">
      <xsd:simpleType>
        <xsd:restriction base="dms:Text"/>
      </xsd:simpleType>
    </xsd:element>
    <xsd:element name="MediaServiceLocation" ma:index="16" nillable="true" ma:displayName="Location" ma:indexed="true" ma:internalName="MediaServiceLocation" ma:readOnly="true">
      <xsd:simpleType>
        <xsd:restriction base="dms:Text"/>
      </xsd:simpleType>
    </xsd:element>
    <xsd:element name="MediaServiceObjectDetectorVersions" ma:index="17" nillable="true" ma:displayName="MediaServiceObjectDetectorVersions" ma:hidden="true" ma:indexed="true" ma:internalName="MediaServiceObjectDetectorVersions" ma:readOnly="true">
      <xsd:simpleType>
        <xsd:restriction base="dms:Text"/>
      </xsd:simpleType>
    </xsd:element>
    <xsd:element name="MediaLengthInSeconds" ma:index="18" nillable="true" ma:displayName="MediaLengthInSeconds" ma:hidden="true" ma:internalName="MediaLengthInSeconds" ma:readOnly="true">
      <xsd:simpleType>
        <xsd:restriction base="dms:Unknown"/>
      </xsd:simpleType>
    </xsd:element>
    <xsd:element name="MediaServiceSearchProperties" ma:index="19"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d869c146-c82e-4435-92e4-da91542262fd" elementFormDefault="qualified">
    <xsd:import namespace="http://schemas.microsoft.com/office/2006/documentManagement/types"/>
    <xsd:import namespace="http://schemas.microsoft.com/office/infopath/2007/PartnerControls"/>
    <xsd:element name="SharedWithUsers" ma:index="14"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5"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d81c2681-db7b-4a56-9abd-a3238a78f6b2" elementFormDefault="qualified">
    <xsd:import namespace="http://schemas.microsoft.com/office/2006/documentManagement/types"/>
    <xsd:import namespace="http://schemas.microsoft.com/office/infopath/2007/PartnerControls"/>
    <xsd:element name="lcf76f155ced4ddcb4097134ff3c332f" ma:index="23" nillable="true" ma:taxonomy="true" ma:internalName="lcf76f155ced4ddcb4097134ff3c332f" ma:taxonomyFieldName="MediaServiceImageTags" ma:displayName="Image Tags" ma:readOnly="false" ma:fieldId="{5cf76f15-5ced-4ddc-b409-7134ff3c332f}" ma:taxonomyMulti="true" ma:sspId="0c081d5d-8f15-4d39-99f9-175405a35875" ma:termSetId="09814cd3-568e-fe90-9814-8d621ff8fb84" ma:anchorId="fba54fb3-c3e1-fe81-a776-ca4b69148c4d" ma:open="true" ma:isKeyword="false">
      <xsd:complexType>
        <xsd:sequence>
          <xsd:element ref="pc:Terms" minOccurs="0" maxOccurs="1"/>
        </xsd:sequence>
      </xsd:complexType>
    </xsd:element>
    <xsd:element name="MediaServiceBillingMetadata" ma:index="25"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e8238601-ce47-4778-85d0-8b1d6564965a" elementFormDefault="qualified">
    <xsd:import namespace="http://schemas.microsoft.com/office/2006/documentManagement/types"/>
    <xsd:import namespace="http://schemas.microsoft.com/office/infopath/2007/PartnerControls"/>
    <xsd:element name="TaxCatchAll" ma:index="24" nillable="true" ma:displayName="Taxonomy Catch All Column" ma:hidden="true" ma:list="{63ff4dd4-e1ac-40df-be8e-b1e036f80c8e}" ma:internalName="TaxCatchAll" ma:showField="CatchAllData" ma:web="a95247a4-6a6b-40fb-87b6-0fb2f012c536">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a95247a4-6a6b-40fb-87b6-0fb2f012c536" elementFormDefault="qualified">
    <xsd:import namespace="http://schemas.microsoft.com/office/2006/documentManagement/types"/>
    <xsd:import namespace="http://schemas.microsoft.com/office/infopath/2007/PartnerControls"/>
    <xsd:element name="_dlc_DocId" ma:index="26" nillable="true" ma:displayName="Document ID Value" ma:description="The value of the document ID assigned to this item." ma:indexed="true" ma:internalName="_dlc_DocId" ma:readOnly="true">
      <xsd:simpleType>
        <xsd:restriction base="dms:Text"/>
      </xsd:simpleType>
    </xsd:element>
    <xsd:element name="_dlc_DocIdUrl" ma:index="27"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28" nillable="true" ma:displayName="Persist ID" ma:description="Keep ID on add." ma:hidden="true" ma:internalName="_dlc_DocIdPersistId" ma:readOnly="true">
      <xsd:simpleType>
        <xsd:restriction base="dms:Boolea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TaxCatchAll xmlns="e8238601-ce47-4778-85d0-8b1d6564965a" xsi:nil="true"/>
    <_ip_UnifiedCompliancePolicyProperties xmlns="http://schemas.microsoft.com/sharepoint/v3" xsi:nil="true"/>
    <lcf76f155ced4ddcb4097134ff3c332f xmlns="d81c2681-db7b-4a56-9abd-a3238a78f6b2">
      <Terms xmlns="http://schemas.microsoft.com/office/infopath/2007/PartnerControls"/>
    </lcf76f155ced4ddcb4097134ff3c332f>
    <MediaServiceGenerationTime xmlns="b98728ac-f998-415c-abee-6b046fb1441e" xsi:nil="true"/>
    <MediaServiceDateTaken xmlns="b98728ac-f998-415c-abee-6b046fb1441e" xsi:nil="true"/>
    <MediaServiceOCR xmlns="b98728ac-f998-415c-abee-6b046fb1441e" xsi:nil="true"/>
    <MediaServiceMetadata xmlns="b98728ac-f998-415c-abee-6b046fb1441e" xsi:nil="true"/>
    <MediaServiceFastMetadata xmlns="b98728ac-f998-415c-abee-6b046fb1441e" xsi:nil="true"/>
    <SharedWithUsers xmlns="d869c146-c82e-4435-92e4-da91542262fd">
      <UserInfo>
        <DisplayName/>
        <AccountId xsi:nil="true"/>
        <AccountType/>
      </UserInfo>
    </SharedWithUsers>
    <MediaServiceLocation xmlns="b98728ac-f998-415c-abee-6b046fb1441e" xsi:nil="true"/>
    <SharedWithDetails xmlns="d869c146-c82e-4435-92e4-da91542262fd" xsi:nil="true"/>
    <MediaServiceObjectDetectorVersions xmlns="b98728ac-f998-415c-abee-6b046fb1441e" xsi:nil="true"/>
    <MediaLengthInSeconds xmlns="b98728ac-f998-415c-abee-6b046fb1441e" xsi:nil="true"/>
    <MediaServiceSearchProperties xmlns="b98728ac-f998-415c-abee-6b046fb1441e" xsi:nil="true"/>
    <MediaServiceEventHashCode xmlns="b98728ac-f998-415c-abee-6b046fb1441e" xsi:nil="true"/>
    <_dlc_DocId xmlns="a95247a4-6a6b-40fb-87b6-0fb2f012c536">D7325JRWV2E7-1309657692-43842</_dlc_DocId>
    <_dlc_DocIdUrl xmlns="a95247a4-6a6b-40fb-87b6-0fb2f012c536">
      <Url>https://dcceew2.sharepoint.com/sites/DCCEEW-DSaD/_layouts/15/DocIdRedir.aspx?ID=D7325JRWV2E7-1309657692-43842</Url>
      <Description>D7325JRWV2E7-1309657692-43842</Description>
    </_dlc_DocIdUrl>
  </documentManagement>
</p:properties>
</file>

<file path=customXml/item5.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Props1.xml><?xml version="1.0" encoding="utf-8"?>
<ds:datastoreItem xmlns:ds="http://schemas.openxmlformats.org/officeDocument/2006/customXml" ds:itemID="{A09BAD3F-0A41-472C-8D50-2845F84AC795}">
  <ds:schemaRefs>
    <ds:schemaRef ds:uri="http://schemas.openxmlformats.org/officeDocument/2006/bibliography"/>
  </ds:schemaRefs>
</ds:datastoreItem>
</file>

<file path=customXml/itemProps2.xml><?xml version="1.0" encoding="utf-8"?>
<ds:datastoreItem xmlns:ds="http://schemas.openxmlformats.org/officeDocument/2006/customXml" ds:itemID="{1D009C38-274E-4AF3-B62F-020AD4B162DA}"/>
</file>

<file path=customXml/itemProps3.xml><?xml version="1.0" encoding="utf-8"?>
<ds:datastoreItem xmlns:ds="http://schemas.openxmlformats.org/officeDocument/2006/customXml" ds:itemID="{6CC84D5D-E191-4C8C-BC30-6AD591A9B303}"/>
</file>

<file path=customXml/itemProps4.xml><?xml version="1.0" encoding="utf-8"?>
<ds:datastoreItem xmlns:ds="http://schemas.openxmlformats.org/officeDocument/2006/customXml" ds:itemID="{36E6772A-9B51-47E1-87A5-234F55800DAF}"/>
</file>

<file path=customXml/itemProps5.xml><?xml version="1.0" encoding="utf-8"?>
<ds:datastoreItem xmlns:ds="http://schemas.openxmlformats.org/officeDocument/2006/customXml" ds:itemID="{6D4FADF3-3908-4A28-A0AA-CA90CA9F149D}"/>
</file>

<file path=docMetadata/LabelInfo.xml><?xml version="1.0" encoding="utf-8"?>
<clbl:labelList xmlns:clbl="http://schemas.microsoft.com/office/2020/mipLabelMetadata">
  <clbl:label id="{2e6ba7ff-9897-4e65-9803-3be34fd9cf5a}" enabled="1" method="Privileged" siteId="{8c3c81bc-2b3c-44af-b3f7-6f620b3910ee}" contentBits="3" removed="0"/>
</clbl:labelList>
</file>

<file path=docProps/app.xml><?xml version="1.0" encoding="utf-8"?>
<Properties xmlns="http://schemas.openxmlformats.org/officeDocument/2006/extended-properties" xmlns:vt="http://schemas.openxmlformats.org/officeDocument/2006/docPropsVTypes">
  <Template>Normal</Template>
  <TotalTime>1</TotalTime>
  <Pages>24</Pages>
  <Words>5764</Words>
  <Characters>32856</Characters>
  <Application>Microsoft Office Word</Application>
  <DocSecurity>0</DocSecurity>
  <Lines>273</Lines>
  <Paragraphs>77</Paragraphs>
  <ScaleCrop>false</ScaleCrop>
  <Company/>
  <LinksUpToDate>false</LinksUpToDate>
  <CharactersWithSpaces>38543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Five year review of the bilateral agreement relating to environmental assessment for New South Wales</dc:title>
  <dc:creator>Australian Government</dc:creator>
  <dc:description/>
  <cp:lastModifiedBy>Neetika SAHAI</cp:lastModifiedBy>
  <cp:revision>2</cp:revision>
  <dcterms:created xsi:type="dcterms:W3CDTF">2026-06-05T05:35:00Z</dcterms:created>
  <dcterms:modified xsi:type="dcterms:W3CDTF">2026-06-05T05:35:00Z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0x010100D001B2BE74D025469E1D0E28F10DD2C8</vt:lpwstr>
  </property>
  <property fmtid="{D5CDD505-2E9C-101B-9397-08002B2CF9AE}" pid="3" name="Converter">
    <vt:lpwstr>StructuredOutput v10.0.20070.1</vt:lpwstr>
  </property>
  <property fmtid="{D5CDD505-2E9C-101B-9397-08002B2CF9AE}" pid="4" name="Created">
    <vt:filetime>2021-11-11T00:00:00Z</vt:filetime>
  </property>
  <property fmtid="{D5CDD505-2E9C-101B-9397-08002B2CF9AE}" pid="5" name="Creator">
    <vt:lpwstr>Acrobat PDFMaker 20 for Word</vt:lpwstr>
  </property>
  <property fmtid="{D5CDD505-2E9C-101B-9397-08002B2CF9AE}" pid="6" name="LastSaved">
    <vt:filetime>2026-06-05T00:00:00Z</vt:filetime>
  </property>
  <property fmtid="{D5CDD505-2E9C-101B-9397-08002B2CF9AE}" pid="7" name="Producer">
    <vt:lpwstr>Adobe PDF Library 20.1.50</vt:lpwstr>
  </property>
  <property fmtid="{D5CDD505-2E9C-101B-9397-08002B2CF9AE}" pid="8" name="RecordPoint_ActiveItemListId">
    <vt:lpwstr>{38df5e38-d175-463d-bd62-37f5711a6ab6}</vt:lpwstr>
  </property>
  <property fmtid="{D5CDD505-2E9C-101B-9397-08002B2CF9AE}" pid="9" name="RecordPoint_ActiveItemSiteId">
    <vt:lpwstr>{ee06f586-34ff-4e60-9b59-8034275c7b5d}</vt:lpwstr>
  </property>
  <property fmtid="{D5CDD505-2E9C-101B-9397-08002B2CF9AE}" pid="10" name="RecordPoint_ActiveItemUniqueId">
    <vt:lpwstr>{5d5817b8-0b37-46ed-9768-48bc3137f671}</vt:lpwstr>
  </property>
  <property fmtid="{D5CDD505-2E9C-101B-9397-08002B2CF9AE}" pid="11" name="RecordPoint_ActiveItemWebId">
    <vt:lpwstr>{4f01874a-75c0-48e1-8215-c6f3101fd3a7}</vt:lpwstr>
  </property>
  <property fmtid="{D5CDD505-2E9C-101B-9397-08002B2CF9AE}" pid="12" name="RecordPoint_RecordNumberSubmitted">
    <vt:lpwstr>001904104</vt:lpwstr>
  </property>
  <property fmtid="{D5CDD505-2E9C-101B-9397-08002B2CF9AE}" pid="13" name="RecordPoint_SubmissionCompleted">
    <vt:lpwstr>2017-08-26T11:33:53.5352982+10:00</vt:lpwstr>
  </property>
  <property fmtid="{D5CDD505-2E9C-101B-9397-08002B2CF9AE}" pid="14" name="RecordPoint_WorkflowType">
    <vt:lpwstr>ActiveSubmitStub</vt:lpwstr>
  </property>
  <property fmtid="{D5CDD505-2E9C-101B-9397-08002B2CF9AE}" pid="15" name="SourceModified">
    <vt:lpwstr/>
  </property>
  <property fmtid="{D5CDD505-2E9C-101B-9397-08002B2CF9AE}" pid="16" name="ClassificationContentMarkingHeaderShapeIds">
    <vt:lpwstr>1f1b39c,76d583a7,5552f21c</vt:lpwstr>
  </property>
  <property fmtid="{D5CDD505-2E9C-101B-9397-08002B2CF9AE}" pid="17" name="ClassificationContentMarkingHeaderFontProps">
    <vt:lpwstr>#ff0000,12,Aptos</vt:lpwstr>
  </property>
  <property fmtid="{D5CDD505-2E9C-101B-9397-08002B2CF9AE}" pid="18" name="ClassificationContentMarkingHeaderText">
    <vt:lpwstr>OFFICIAL</vt:lpwstr>
  </property>
  <property fmtid="{D5CDD505-2E9C-101B-9397-08002B2CF9AE}" pid="19" name="ClassificationContentMarkingFooterShapeIds">
    <vt:lpwstr>db5a3f9,568fafa3,34b006f1</vt:lpwstr>
  </property>
  <property fmtid="{D5CDD505-2E9C-101B-9397-08002B2CF9AE}" pid="20" name="ClassificationContentMarkingFooterFontProps">
    <vt:lpwstr>#ff0000,12,Aptos</vt:lpwstr>
  </property>
  <property fmtid="{D5CDD505-2E9C-101B-9397-08002B2CF9AE}" pid="21" name="ClassificationContentMarkingFooterText">
    <vt:lpwstr>OFFICIAL</vt:lpwstr>
  </property>
  <property fmtid="{D5CDD505-2E9C-101B-9397-08002B2CF9AE}" pid="22" name="_dlc_DocIdItemGuid">
    <vt:lpwstr>ac715fe4-4ebd-42a9-84dd-9eafcfd4a21d</vt:lpwstr>
  </property>
  <property fmtid="{D5CDD505-2E9C-101B-9397-08002B2CF9AE}" pid="23" name="Record_x0020_Classification">
    <vt:lpwstr/>
  </property>
  <property fmtid="{D5CDD505-2E9C-101B-9397-08002B2CF9AE}" pid="24" name="MediaServiceImageTags">
    <vt:lpwstr/>
  </property>
  <property fmtid="{D5CDD505-2E9C-101B-9397-08002B2CF9AE}" pid="25" name="h64465b6520a47a58f1168c7a3f04764">
    <vt:lpwstr/>
  </property>
  <property fmtid="{D5CDD505-2E9C-101B-9397-08002B2CF9AE}" pid="26" name="Record Classification">
    <vt:lpwstr/>
  </property>
</Properties>
</file>