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7BA2" w14:textId="77777777" w:rsidR="00EF5245" w:rsidRDefault="00980262">
      <w:pPr>
        <w:spacing w:before="12" w:after="545"/>
        <w:ind w:left="2779" w:right="3247"/>
        <w:textAlignment w:val="baseline"/>
      </w:pPr>
      <w:r>
        <w:rPr>
          <w:noProof/>
        </w:rPr>
        <w:drawing>
          <wp:inline distT="0" distB="0" distL="0" distR="0" wp14:anchorId="3A7AEDC8" wp14:editId="331761A6">
            <wp:extent cx="1926590" cy="572770"/>
            <wp:effectExtent l="0" t="0" r="0" b="0"/>
            <wp:docPr id="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a:extLst>
                        <a:ext uri="{C183D7F6-B498-43B3-948B-1728B52AA6E4}">
                          <adec:decorative xmlns:adec="http://schemas.microsoft.com/office/drawing/2017/decorative" val="1"/>
                        </a:ext>
                      </a:extLst>
                    </pic:cNvPr>
                    <pic:cNvPicPr preferRelativeResize="0"/>
                  </pic:nvPicPr>
                  <pic:blipFill>
                    <a:blip r:embed="rId11"/>
                    <a:stretch>
                      <a:fillRect/>
                    </a:stretch>
                  </pic:blipFill>
                  <pic:spPr>
                    <a:xfrm>
                      <a:off x="0" y="0"/>
                      <a:ext cx="1926590" cy="572770"/>
                    </a:xfrm>
                    <a:prstGeom prst="rect">
                      <a:avLst/>
                    </a:prstGeom>
                  </pic:spPr>
                </pic:pic>
              </a:graphicData>
            </a:graphic>
          </wp:inline>
        </w:drawing>
      </w:r>
    </w:p>
    <w:p w14:paraId="04B4D34B" w14:textId="7B66CF63" w:rsidR="00EF5245" w:rsidRDefault="00980262">
      <w:pPr>
        <w:spacing w:before="39" w:line="324" w:lineRule="exact"/>
        <w:jc w:val="center"/>
        <w:textAlignment w:val="baseline"/>
        <w:rPr>
          <w:rFonts w:ascii="Calibri" w:eastAsia="Calibri" w:hAnsi="Calibri"/>
          <w:color w:val="00518C"/>
          <w:sz w:val="32"/>
        </w:rPr>
      </w:pPr>
      <w:r>
        <w:rPr>
          <w:rFonts w:ascii="Calibri" w:eastAsia="Calibri" w:hAnsi="Calibri"/>
          <w:color w:val="00518C"/>
          <w:sz w:val="32"/>
        </w:rPr>
        <w:t xml:space="preserve">Indigenous Advisory Committee Bulletin Meeting </w:t>
      </w:r>
      <w:r w:rsidR="00F01F92">
        <w:rPr>
          <w:rFonts w:ascii="Calibri" w:eastAsia="Calibri" w:hAnsi="Calibri"/>
          <w:color w:val="00518C"/>
          <w:sz w:val="32"/>
        </w:rPr>
        <w:t>53</w:t>
      </w:r>
    </w:p>
    <w:p w14:paraId="3106839A" w14:textId="77777777" w:rsidR="00443C5E" w:rsidRDefault="00443C5E">
      <w:pPr>
        <w:spacing w:before="39" w:line="324" w:lineRule="exact"/>
        <w:jc w:val="center"/>
        <w:textAlignment w:val="baseline"/>
        <w:rPr>
          <w:rFonts w:ascii="Calibri" w:eastAsia="Calibri" w:hAnsi="Calibri"/>
          <w:color w:val="00518C"/>
          <w:sz w:val="32"/>
        </w:rPr>
      </w:pPr>
    </w:p>
    <w:p w14:paraId="3633B22B" w14:textId="28DDDDFD" w:rsidR="00122B13" w:rsidRDefault="00980262" w:rsidP="00122B13">
      <w:pPr>
        <w:spacing w:before="125" w:line="285" w:lineRule="exact"/>
        <w:ind w:right="72"/>
        <w:textAlignment w:val="baseline"/>
        <w:rPr>
          <w:rFonts w:ascii="Calibri" w:eastAsia="Calibri" w:hAnsi="Calibri"/>
          <w:color w:val="000000"/>
          <w:sz w:val="20"/>
        </w:rPr>
      </w:pPr>
      <w:r>
        <w:rPr>
          <w:rFonts w:ascii="Calibri" w:eastAsia="Calibri" w:hAnsi="Calibri"/>
          <w:color w:val="000000"/>
          <w:sz w:val="20"/>
        </w:rPr>
        <w:t xml:space="preserve">The Indigenous Advisory Committee (IAC) held its </w:t>
      </w:r>
      <w:r w:rsidR="00F01F92">
        <w:rPr>
          <w:rFonts w:ascii="Calibri" w:eastAsia="Calibri" w:hAnsi="Calibri"/>
          <w:color w:val="000000"/>
          <w:sz w:val="20"/>
        </w:rPr>
        <w:t>53rd</w:t>
      </w:r>
      <w:r>
        <w:rPr>
          <w:rFonts w:ascii="Calibri" w:eastAsia="Calibri" w:hAnsi="Calibri"/>
          <w:color w:val="000000"/>
          <w:sz w:val="20"/>
        </w:rPr>
        <w:t xml:space="preserve"> meeting on </w:t>
      </w:r>
      <w:r w:rsidR="00F01F92">
        <w:rPr>
          <w:rFonts w:ascii="Calibri" w:eastAsia="Calibri" w:hAnsi="Calibri"/>
          <w:color w:val="000000"/>
          <w:sz w:val="20"/>
        </w:rPr>
        <w:t>Wedne</w:t>
      </w:r>
      <w:r>
        <w:rPr>
          <w:rFonts w:ascii="Calibri" w:eastAsia="Calibri" w:hAnsi="Calibri"/>
          <w:color w:val="000000"/>
          <w:sz w:val="20"/>
        </w:rPr>
        <w:t xml:space="preserve">sday </w:t>
      </w:r>
      <w:r w:rsidR="00F01F92">
        <w:rPr>
          <w:rFonts w:ascii="Calibri" w:eastAsia="Calibri" w:hAnsi="Calibri"/>
          <w:color w:val="000000"/>
          <w:sz w:val="20"/>
        </w:rPr>
        <w:t>18</w:t>
      </w:r>
      <w:r>
        <w:rPr>
          <w:rFonts w:ascii="Calibri" w:eastAsia="Calibri" w:hAnsi="Calibri"/>
          <w:color w:val="000000"/>
          <w:sz w:val="20"/>
        </w:rPr>
        <w:t xml:space="preserve"> and </w:t>
      </w:r>
      <w:r w:rsidR="00F01F92">
        <w:rPr>
          <w:rFonts w:ascii="Calibri" w:eastAsia="Calibri" w:hAnsi="Calibri"/>
          <w:color w:val="000000"/>
          <w:sz w:val="20"/>
        </w:rPr>
        <w:t>Thur</w:t>
      </w:r>
      <w:r>
        <w:rPr>
          <w:rFonts w:ascii="Calibri" w:eastAsia="Calibri" w:hAnsi="Calibri"/>
          <w:color w:val="000000"/>
          <w:sz w:val="20"/>
        </w:rPr>
        <w:t>sday 1</w:t>
      </w:r>
      <w:r w:rsidR="00F01F92">
        <w:rPr>
          <w:rFonts w:ascii="Calibri" w:eastAsia="Calibri" w:hAnsi="Calibri"/>
          <w:color w:val="000000"/>
          <w:sz w:val="20"/>
        </w:rPr>
        <w:t xml:space="preserve">9 June 2025 </w:t>
      </w:r>
      <w:r>
        <w:rPr>
          <w:rFonts w:ascii="Calibri" w:eastAsia="Calibri" w:hAnsi="Calibri"/>
          <w:color w:val="000000"/>
          <w:sz w:val="20"/>
        </w:rPr>
        <w:t>in Canberra</w:t>
      </w:r>
      <w:r w:rsidR="00C85BE8">
        <w:rPr>
          <w:rFonts w:ascii="Calibri" w:eastAsia="Calibri" w:hAnsi="Calibri"/>
          <w:color w:val="000000"/>
          <w:sz w:val="20"/>
        </w:rPr>
        <w:t>, ACT</w:t>
      </w:r>
      <w:r>
        <w:rPr>
          <w:rFonts w:ascii="Calibri" w:eastAsia="Calibri" w:hAnsi="Calibri"/>
          <w:color w:val="000000"/>
          <w:sz w:val="20"/>
        </w:rPr>
        <w:t>.</w:t>
      </w:r>
    </w:p>
    <w:p w14:paraId="1F25FE19" w14:textId="4C646793" w:rsidR="004C5DA9" w:rsidRDefault="00F01F92" w:rsidP="00122B13">
      <w:pPr>
        <w:spacing w:before="125" w:line="285" w:lineRule="exact"/>
        <w:ind w:right="72"/>
        <w:textAlignment w:val="baseline"/>
        <w:rPr>
          <w:rFonts w:ascii="Calibri" w:hAnsi="Calibri" w:cs="Calibri"/>
          <w:sz w:val="20"/>
          <w:szCs w:val="20"/>
        </w:rPr>
      </w:pPr>
      <w:r>
        <w:rPr>
          <w:rFonts w:ascii="Calibri" w:eastAsia="Calibri" w:hAnsi="Calibri"/>
          <w:color w:val="000000"/>
          <w:sz w:val="20"/>
        </w:rPr>
        <w:t>Th</w:t>
      </w:r>
      <w:r w:rsidR="004C5DA9">
        <w:rPr>
          <w:rFonts w:ascii="Calibri" w:eastAsia="Calibri" w:hAnsi="Calibri"/>
          <w:color w:val="000000"/>
          <w:sz w:val="20"/>
        </w:rPr>
        <w:t xml:space="preserve">is meeting was the </w:t>
      </w:r>
      <w:r w:rsidR="00980262">
        <w:rPr>
          <w:rFonts w:ascii="Calibri" w:eastAsia="Calibri" w:hAnsi="Calibri"/>
          <w:color w:val="000000"/>
          <w:sz w:val="20"/>
        </w:rPr>
        <w:t>first meeting chaired by Dr Rohan Henry and the first since Minister Watt’s appointment. The Committee is awaiting further direction from the Minister regarding priorities and expectations.</w:t>
      </w:r>
    </w:p>
    <w:p w14:paraId="00E3B9ED" w14:textId="77777777" w:rsidR="00CC0ED6" w:rsidRPr="00122B13" w:rsidDel="00446D8D" w:rsidRDefault="00CC0ED6" w:rsidP="00122B13">
      <w:pPr>
        <w:spacing w:before="125" w:line="285" w:lineRule="exact"/>
        <w:ind w:right="72"/>
        <w:textAlignment w:val="baseline"/>
        <w:rPr>
          <w:rFonts w:ascii="Calibri" w:eastAsia="Calibri" w:hAnsi="Calibri"/>
          <w:color w:val="000000"/>
          <w:sz w:val="20"/>
        </w:rPr>
      </w:pPr>
    </w:p>
    <w:p w14:paraId="294A2CEC" w14:textId="1ECD8674" w:rsidR="00EF5245" w:rsidRDefault="00577219" w:rsidP="00CC0ED6">
      <w:pPr>
        <w:spacing w:after="120"/>
        <w:textAlignment w:val="baseline"/>
        <w:rPr>
          <w:rFonts w:ascii="Calibri" w:eastAsia="Calibri" w:hAnsi="Calibri"/>
          <w:color w:val="00518C"/>
          <w:sz w:val="20"/>
        </w:rPr>
      </w:pPr>
      <w:r>
        <w:rPr>
          <w:rFonts w:ascii="Calibri" w:eastAsia="Calibri" w:hAnsi="Calibri"/>
          <w:color w:val="00518C"/>
          <w:sz w:val="20"/>
        </w:rPr>
        <w:t>Environmental Law Reform</w:t>
      </w:r>
    </w:p>
    <w:p w14:paraId="1DAA2DBB" w14:textId="4AEEC67E" w:rsidR="00EF5245" w:rsidRDefault="00980262">
      <w:pPr>
        <w:spacing w:before="42" w:line="281" w:lineRule="exact"/>
        <w:ind w:right="144"/>
        <w:textAlignment w:val="baseline"/>
        <w:rPr>
          <w:rFonts w:ascii="Calibri" w:eastAsia="Calibri" w:hAnsi="Calibri"/>
          <w:color w:val="000000"/>
          <w:sz w:val="20"/>
        </w:rPr>
      </w:pPr>
      <w:r>
        <w:rPr>
          <w:rFonts w:ascii="Calibri" w:eastAsia="Calibri" w:hAnsi="Calibri"/>
          <w:color w:val="000000"/>
          <w:sz w:val="20"/>
        </w:rPr>
        <w:t xml:space="preserve">The </w:t>
      </w:r>
      <w:r w:rsidR="0098399E">
        <w:rPr>
          <w:rFonts w:ascii="Calibri" w:eastAsia="Calibri" w:hAnsi="Calibri"/>
          <w:color w:val="000000"/>
          <w:sz w:val="20"/>
        </w:rPr>
        <w:t>D</w:t>
      </w:r>
      <w:r>
        <w:rPr>
          <w:rFonts w:ascii="Calibri" w:eastAsia="Calibri" w:hAnsi="Calibri"/>
          <w:color w:val="000000"/>
          <w:sz w:val="20"/>
        </w:rPr>
        <w:t>epartment (</w:t>
      </w:r>
      <w:r w:rsidR="00182CBF" w:rsidRPr="00182CBF">
        <w:rPr>
          <w:rFonts w:ascii="Calibri" w:eastAsia="Calibri" w:hAnsi="Calibri"/>
          <w:color w:val="000000"/>
          <w:sz w:val="20"/>
        </w:rPr>
        <w:t>Environment Law Reform Taskforce</w:t>
      </w:r>
      <w:r>
        <w:rPr>
          <w:rFonts w:ascii="Calibri" w:eastAsia="Calibri" w:hAnsi="Calibri"/>
          <w:color w:val="000000"/>
          <w:sz w:val="20"/>
        </w:rPr>
        <w:t xml:space="preserve">) updated the IAC on reform of the Environment Protection and Biodiversity Conservation Act (EPBC Act) and the development of a national </w:t>
      </w:r>
      <w:r w:rsidR="0098399E">
        <w:rPr>
          <w:rFonts w:ascii="Calibri" w:eastAsia="Calibri" w:hAnsi="Calibri"/>
          <w:color w:val="000000"/>
          <w:sz w:val="20"/>
        </w:rPr>
        <w:t>e</w:t>
      </w:r>
      <w:r>
        <w:rPr>
          <w:rFonts w:ascii="Calibri" w:eastAsia="Calibri" w:hAnsi="Calibri"/>
          <w:color w:val="000000"/>
          <w:sz w:val="20"/>
        </w:rPr>
        <w:t xml:space="preserve">nvironmental </w:t>
      </w:r>
      <w:r w:rsidR="0098399E">
        <w:rPr>
          <w:rFonts w:ascii="Calibri" w:eastAsia="Calibri" w:hAnsi="Calibri"/>
          <w:color w:val="000000"/>
          <w:sz w:val="20"/>
        </w:rPr>
        <w:t>p</w:t>
      </w:r>
      <w:r>
        <w:rPr>
          <w:rFonts w:ascii="Calibri" w:eastAsia="Calibri" w:hAnsi="Calibri"/>
          <w:color w:val="000000"/>
          <w:sz w:val="20"/>
        </w:rPr>
        <w:t xml:space="preserve">rotection </w:t>
      </w:r>
      <w:r w:rsidR="0098399E">
        <w:rPr>
          <w:rFonts w:ascii="Calibri" w:eastAsia="Calibri" w:hAnsi="Calibri"/>
          <w:color w:val="000000"/>
          <w:sz w:val="20"/>
        </w:rPr>
        <w:t>a</w:t>
      </w:r>
      <w:r>
        <w:rPr>
          <w:rFonts w:ascii="Calibri" w:eastAsia="Calibri" w:hAnsi="Calibri"/>
          <w:color w:val="000000"/>
          <w:sz w:val="20"/>
        </w:rPr>
        <w:t>gency (EPA)</w:t>
      </w:r>
      <w:r w:rsidR="00577219">
        <w:rPr>
          <w:rFonts w:ascii="Calibri" w:eastAsia="Calibri" w:hAnsi="Calibri"/>
          <w:color w:val="000000"/>
          <w:sz w:val="20"/>
        </w:rPr>
        <w:t xml:space="preserve"> and the integration of cultural heritage reforms to ensure alignment across frameworks</w:t>
      </w:r>
      <w:r>
        <w:rPr>
          <w:rFonts w:ascii="Calibri" w:eastAsia="Calibri" w:hAnsi="Calibri"/>
          <w:color w:val="000000"/>
          <w:sz w:val="20"/>
        </w:rPr>
        <w:t xml:space="preserve">. </w:t>
      </w:r>
      <w:r w:rsidR="00577219">
        <w:rPr>
          <w:rFonts w:ascii="Calibri" w:eastAsia="Calibri" w:hAnsi="Calibri"/>
          <w:color w:val="000000"/>
          <w:sz w:val="20"/>
        </w:rPr>
        <w:t>The Minister is prioriti</w:t>
      </w:r>
      <w:r>
        <w:rPr>
          <w:rFonts w:ascii="Calibri" w:eastAsia="Calibri" w:hAnsi="Calibri"/>
          <w:color w:val="000000"/>
          <w:sz w:val="20"/>
        </w:rPr>
        <w:t>s</w:t>
      </w:r>
      <w:r w:rsidR="00577219">
        <w:rPr>
          <w:rFonts w:ascii="Calibri" w:eastAsia="Calibri" w:hAnsi="Calibri"/>
          <w:color w:val="000000"/>
          <w:sz w:val="20"/>
        </w:rPr>
        <w:t xml:space="preserve">ing stakeholder engagement, particularly </w:t>
      </w:r>
      <w:r>
        <w:rPr>
          <w:rFonts w:ascii="Calibri" w:eastAsia="Calibri" w:hAnsi="Calibri"/>
          <w:color w:val="000000"/>
          <w:sz w:val="20"/>
        </w:rPr>
        <w:t>in developing</w:t>
      </w:r>
      <w:r w:rsidR="00577219">
        <w:rPr>
          <w:rFonts w:ascii="Calibri" w:eastAsia="Calibri" w:hAnsi="Calibri"/>
          <w:color w:val="000000"/>
          <w:sz w:val="20"/>
        </w:rPr>
        <w:t xml:space="preserve"> the National Environment</w:t>
      </w:r>
      <w:r w:rsidR="0098399E">
        <w:rPr>
          <w:rFonts w:ascii="Calibri" w:eastAsia="Calibri" w:hAnsi="Calibri"/>
          <w:color w:val="000000"/>
          <w:sz w:val="20"/>
        </w:rPr>
        <w:t>al</w:t>
      </w:r>
      <w:r w:rsidR="00577219">
        <w:rPr>
          <w:rFonts w:ascii="Calibri" w:eastAsia="Calibri" w:hAnsi="Calibri"/>
          <w:color w:val="000000"/>
          <w:sz w:val="20"/>
        </w:rPr>
        <w:t xml:space="preserve"> Standards, and is committed to ensuring the reforms reflect the findings of the Samuel Review. </w:t>
      </w:r>
      <w:r>
        <w:rPr>
          <w:rFonts w:ascii="Calibri" w:eastAsia="Calibri" w:hAnsi="Calibri"/>
          <w:color w:val="000000"/>
          <w:sz w:val="20"/>
        </w:rPr>
        <w:t xml:space="preserve">The </w:t>
      </w:r>
      <w:r w:rsidR="00C85BE8">
        <w:rPr>
          <w:rFonts w:ascii="Calibri" w:eastAsia="Calibri" w:hAnsi="Calibri"/>
          <w:color w:val="000000"/>
          <w:sz w:val="20"/>
        </w:rPr>
        <w:t xml:space="preserve">Committee </w:t>
      </w:r>
      <w:r>
        <w:rPr>
          <w:rFonts w:ascii="Calibri" w:eastAsia="Calibri" w:hAnsi="Calibri"/>
          <w:color w:val="000000"/>
          <w:sz w:val="20"/>
        </w:rPr>
        <w:t xml:space="preserve">welcomed the opportunity to continue working closely with the department to ensure First Nations perspectives are </w:t>
      </w:r>
      <w:r w:rsidRPr="00980262">
        <w:rPr>
          <w:rFonts w:ascii="Calibri" w:eastAsia="Calibri" w:hAnsi="Calibri"/>
          <w:color w:val="000000"/>
          <w:sz w:val="20"/>
        </w:rPr>
        <w:t>considered</w:t>
      </w:r>
      <w:r>
        <w:rPr>
          <w:rFonts w:ascii="Calibri" w:eastAsia="Calibri" w:hAnsi="Calibri"/>
          <w:color w:val="000000"/>
          <w:sz w:val="20"/>
        </w:rPr>
        <w:t xml:space="preserve">. </w:t>
      </w:r>
    </w:p>
    <w:p w14:paraId="1950BB54" w14:textId="77777777" w:rsidR="00CC0ED6" w:rsidRDefault="00CC0ED6" w:rsidP="00CC0ED6">
      <w:pPr>
        <w:spacing w:after="120"/>
        <w:textAlignment w:val="baseline"/>
        <w:rPr>
          <w:rFonts w:ascii="Calibri" w:eastAsia="Calibri" w:hAnsi="Calibri"/>
          <w:color w:val="00518C"/>
          <w:sz w:val="20"/>
        </w:rPr>
      </w:pPr>
    </w:p>
    <w:p w14:paraId="33F4F695" w14:textId="77777777" w:rsidR="00CC0ED6" w:rsidRDefault="00122B13" w:rsidP="00CC0ED6">
      <w:pPr>
        <w:spacing w:after="120"/>
        <w:textAlignment w:val="baseline"/>
        <w:rPr>
          <w:rFonts w:ascii="Calibri" w:eastAsia="Calibri" w:hAnsi="Calibri"/>
          <w:color w:val="00518C"/>
          <w:sz w:val="20"/>
        </w:rPr>
      </w:pPr>
      <w:r w:rsidRPr="00122B13">
        <w:rPr>
          <w:rFonts w:ascii="Calibri" w:eastAsia="Calibri" w:hAnsi="Calibri"/>
          <w:color w:val="00518C"/>
          <w:sz w:val="20"/>
        </w:rPr>
        <w:t>Cultural Heritage Reform Priorities</w:t>
      </w:r>
    </w:p>
    <w:p w14:paraId="2C217EFB" w14:textId="67E48079" w:rsidR="00122B13" w:rsidRDefault="00122B13" w:rsidP="00CC0ED6">
      <w:pPr>
        <w:spacing w:after="120"/>
        <w:textAlignment w:val="baseline"/>
        <w:rPr>
          <w:rFonts w:ascii="Calibri" w:hAnsi="Calibri" w:cs="Calibri"/>
          <w:sz w:val="20"/>
          <w:szCs w:val="20"/>
        </w:rPr>
      </w:pPr>
      <w:r w:rsidRPr="00122B13">
        <w:rPr>
          <w:rFonts w:ascii="Calibri" w:eastAsia="Calibri" w:hAnsi="Calibri"/>
          <w:sz w:val="20"/>
        </w:rPr>
        <w:t>An update was provided on the First Nations cultural heritage reform agenda. The Committee discusse</w:t>
      </w:r>
      <w:r w:rsidRPr="00122B13">
        <w:rPr>
          <w:rFonts w:ascii="Calibri" w:eastAsia="Calibri" w:hAnsi="Calibri"/>
          <w:color w:val="00518C"/>
          <w:sz w:val="20"/>
        </w:rPr>
        <w:t>d</w:t>
      </w:r>
      <w:r w:rsidRPr="00122B13">
        <w:rPr>
          <w:rFonts w:ascii="Calibri" w:hAnsi="Calibri" w:cs="Calibri"/>
          <w:sz w:val="20"/>
          <w:szCs w:val="20"/>
        </w:rPr>
        <w:t xml:space="preserve"> </w:t>
      </w:r>
      <w:r>
        <w:rPr>
          <w:rFonts w:ascii="Calibri" w:hAnsi="Calibri" w:cs="Calibri"/>
          <w:sz w:val="20"/>
          <w:szCs w:val="20"/>
        </w:rPr>
        <w:t xml:space="preserve">   </w:t>
      </w:r>
      <w:r w:rsidRPr="00122B13">
        <w:rPr>
          <w:rFonts w:ascii="Calibri" w:hAnsi="Calibri" w:cs="Calibri"/>
          <w:sz w:val="20"/>
          <w:szCs w:val="20"/>
        </w:rPr>
        <w:t>proposed priorities and the consultation strategy, offering insights to help shape a respectful and inclusive approach.</w:t>
      </w:r>
      <w:r w:rsidR="00980262">
        <w:rPr>
          <w:rFonts w:ascii="Calibri" w:hAnsi="Calibri" w:cs="Calibri"/>
          <w:sz w:val="20"/>
          <w:szCs w:val="20"/>
        </w:rPr>
        <w:t xml:space="preserve"> The Committee emphasised the importance of meaningful engagement with First Nations communities through the reform process.</w:t>
      </w:r>
    </w:p>
    <w:p w14:paraId="59036785" w14:textId="77777777" w:rsidR="00122B13" w:rsidRDefault="00122B13" w:rsidP="00122B13">
      <w:pPr>
        <w:rPr>
          <w:rFonts w:ascii="Calibri" w:hAnsi="Calibri" w:cs="Calibri"/>
          <w:sz w:val="20"/>
          <w:szCs w:val="20"/>
        </w:rPr>
      </w:pPr>
    </w:p>
    <w:p w14:paraId="359ACD81" w14:textId="4E47E955" w:rsidR="00EF5245" w:rsidRDefault="00C85BE8" w:rsidP="00CC0ED6">
      <w:pPr>
        <w:spacing w:after="120"/>
        <w:rPr>
          <w:rFonts w:ascii="Calibri" w:eastAsia="Calibri" w:hAnsi="Calibri"/>
          <w:color w:val="00518B"/>
          <w:sz w:val="20"/>
        </w:rPr>
      </w:pPr>
      <w:r>
        <w:rPr>
          <w:rFonts w:ascii="Calibri" w:eastAsia="Calibri" w:hAnsi="Calibri"/>
          <w:color w:val="00518B"/>
          <w:sz w:val="20"/>
        </w:rPr>
        <w:t>The National Agreement on Closing the Gap</w:t>
      </w:r>
    </w:p>
    <w:p w14:paraId="21E25378" w14:textId="5A2A8E7F" w:rsidR="00122B13" w:rsidRDefault="00122B13" w:rsidP="00122B13">
      <w:pPr>
        <w:rPr>
          <w:rFonts w:ascii="Calibri" w:hAnsi="Calibri" w:cs="Calibri"/>
          <w:sz w:val="20"/>
          <w:szCs w:val="20"/>
        </w:rPr>
      </w:pPr>
      <w:r w:rsidRPr="00122B13">
        <w:rPr>
          <w:rFonts w:ascii="Calibri" w:hAnsi="Calibri" w:cs="Calibri"/>
          <w:sz w:val="20"/>
          <w:szCs w:val="20"/>
        </w:rPr>
        <w:t xml:space="preserve">The Committee considered how best to frame its advice in relation to the National Agreement on Closing the Gap. </w:t>
      </w:r>
      <w:r w:rsidR="00C85BE8">
        <w:rPr>
          <w:rFonts w:ascii="Calibri" w:hAnsi="Calibri" w:cs="Calibri"/>
          <w:sz w:val="20"/>
          <w:szCs w:val="20"/>
        </w:rPr>
        <w:t>In particular, the Committee</w:t>
      </w:r>
      <w:r w:rsidR="00C85BE8" w:rsidRPr="00122B13">
        <w:rPr>
          <w:rFonts w:ascii="Calibri" w:hAnsi="Calibri" w:cs="Calibri"/>
          <w:sz w:val="20"/>
          <w:szCs w:val="20"/>
        </w:rPr>
        <w:t xml:space="preserve"> </w:t>
      </w:r>
      <w:r w:rsidR="00C85BE8">
        <w:rPr>
          <w:rFonts w:ascii="Calibri" w:hAnsi="Calibri" w:cs="Calibri"/>
          <w:sz w:val="20"/>
          <w:szCs w:val="20"/>
        </w:rPr>
        <w:t>discussed the 4</w:t>
      </w:r>
      <w:r w:rsidRPr="00122B13">
        <w:rPr>
          <w:rFonts w:ascii="Calibri" w:hAnsi="Calibri" w:cs="Calibri"/>
          <w:sz w:val="20"/>
          <w:szCs w:val="20"/>
        </w:rPr>
        <w:t xml:space="preserve"> Priority Reforms</w:t>
      </w:r>
      <w:r w:rsidR="00C85BE8">
        <w:rPr>
          <w:rFonts w:ascii="Calibri" w:hAnsi="Calibri" w:cs="Calibri"/>
          <w:sz w:val="20"/>
          <w:szCs w:val="20"/>
        </w:rPr>
        <w:t xml:space="preserve"> and the Department’s strategic efforts (through the First Nations Strategy 2025 – 30)</w:t>
      </w:r>
      <w:proofErr w:type="gramStart"/>
      <w:r w:rsidR="00C85BE8">
        <w:rPr>
          <w:rFonts w:ascii="Calibri" w:hAnsi="Calibri" w:cs="Calibri"/>
          <w:sz w:val="20"/>
          <w:szCs w:val="20"/>
        </w:rPr>
        <w:t xml:space="preserve">. </w:t>
      </w:r>
      <w:r w:rsidR="00980262">
        <w:rPr>
          <w:rFonts w:ascii="Calibri" w:hAnsi="Calibri" w:cs="Calibri"/>
          <w:sz w:val="20"/>
          <w:szCs w:val="20"/>
        </w:rPr>
        <w:t>.</w:t>
      </w:r>
      <w:proofErr w:type="gramEnd"/>
      <w:r w:rsidRPr="00122B13">
        <w:rPr>
          <w:rFonts w:ascii="Calibri" w:hAnsi="Calibri" w:cs="Calibri"/>
          <w:sz w:val="20"/>
          <w:szCs w:val="20"/>
        </w:rPr>
        <w:t xml:space="preserve"> </w:t>
      </w:r>
      <w:r w:rsidR="00980262">
        <w:rPr>
          <w:rFonts w:ascii="Calibri" w:hAnsi="Calibri" w:cs="Calibri"/>
          <w:sz w:val="20"/>
          <w:szCs w:val="20"/>
        </w:rPr>
        <w:t>T</w:t>
      </w:r>
      <w:r w:rsidRPr="00122B13">
        <w:rPr>
          <w:rFonts w:ascii="Calibri" w:hAnsi="Calibri" w:cs="Calibri"/>
          <w:sz w:val="20"/>
          <w:szCs w:val="20"/>
        </w:rPr>
        <w:t xml:space="preserve">he Committee identified next steps to support this </w:t>
      </w:r>
      <w:r w:rsidR="00980262">
        <w:rPr>
          <w:rFonts w:ascii="Calibri" w:hAnsi="Calibri" w:cs="Calibri"/>
          <w:sz w:val="20"/>
          <w:szCs w:val="20"/>
        </w:rPr>
        <w:t>approach</w:t>
      </w:r>
      <w:r w:rsidRPr="00122B13">
        <w:rPr>
          <w:rFonts w:ascii="Calibri" w:hAnsi="Calibri" w:cs="Calibri"/>
          <w:sz w:val="20"/>
          <w:szCs w:val="20"/>
        </w:rPr>
        <w:t>.</w:t>
      </w:r>
    </w:p>
    <w:p w14:paraId="438D13D1" w14:textId="77777777" w:rsidR="00CC0ED6" w:rsidRPr="00122B13" w:rsidRDefault="00CC0ED6" w:rsidP="00122B13">
      <w:pPr>
        <w:rPr>
          <w:rFonts w:ascii="Calibri" w:hAnsi="Calibri" w:cs="Calibri"/>
          <w:sz w:val="20"/>
          <w:szCs w:val="20"/>
        </w:rPr>
      </w:pPr>
    </w:p>
    <w:p w14:paraId="381416D1" w14:textId="77777777" w:rsidR="00122B13" w:rsidRPr="00CC0ED6" w:rsidRDefault="00980262" w:rsidP="00CC0ED6">
      <w:pPr>
        <w:spacing w:after="120"/>
        <w:rPr>
          <w:rFonts w:ascii="Calibri" w:eastAsia="Calibri" w:hAnsi="Calibri"/>
          <w:color w:val="00518B"/>
          <w:sz w:val="20"/>
        </w:rPr>
      </w:pPr>
      <w:r w:rsidRPr="00CC0ED6">
        <w:rPr>
          <w:rFonts w:ascii="Calibri" w:eastAsia="Calibri" w:hAnsi="Calibri"/>
          <w:color w:val="00518B"/>
          <w:sz w:val="20"/>
        </w:rPr>
        <w:t>About the IAC</w:t>
      </w:r>
    </w:p>
    <w:p w14:paraId="0F3D19D1" w14:textId="3F5EEF6E" w:rsidR="00EF5245" w:rsidRPr="00CC0ED6" w:rsidRDefault="00980262" w:rsidP="00CC0ED6">
      <w:pPr>
        <w:rPr>
          <w:rFonts w:ascii="Calibri" w:eastAsia="Calibri" w:hAnsi="Calibri"/>
          <w:sz w:val="20"/>
        </w:rPr>
      </w:pPr>
      <w:r w:rsidRPr="00CC0ED6">
        <w:rPr>
          <w:rFonts w:ascii="Calibri" w:eastAsia="Calibri" w:hAnsi="Calibri"/>
          <w:sz w:val="20"/>
        </w:rPr>
        <w:t>The IAC is a statutory body established in 2000 under the EPBC Act. All IAC members are First Nations Australians and are ministerially appointed based on expertise in land and sea management, conservation and sustainable use of biodiversity and cultural heritage management.</w:t>
      </w:r>
    </w:p>
    <w:p w14:paraId="36141E60" w14:textId="77777777" w:rsidR="00EF5245" w:rsidRDefault="00980262">
      <w:pPr>
        <w:spacing w:before="484" w:line="197" w:lineRule="exact"/>
        <w:ind w:left="72"/>
        <w:textAlignment w:val="baseline"/>
        <w:rPr>
          <w:rFonts w:ascii="Calibri" w:eastAsia="Calibri" w:hAnsi="Calibri"/>
          <w:color w:val="00518B"/>
          <w:spacing w:val="-2"/>
          <w:sz w:val="20"/>
        </w:rPr>
      </w:pPr>
      <w:r>
        <w:rPr>
          <w:rFonts w:ascii="Calibri" w:eastAsia="Calibri" w:hAnsi="Calibri"/>
          <w:color w:val="00518B"/>
          <w:spacing w:val="-2"/>
          <w:sz w:val="20"/>
        </w:rPr>
        <w:t>Members</w:t>
      </w:r>
    </w:p>
    <w:p w14:paraId="0D2E4036" w14:textId="77777777" w:rsidR="00443C5E" w:rsidRDefault="00443C5E">
      <w:pPr>
        <w:tabs>
          <w:tab w:val="left" w:pos="4680"/>
        </w:tabs>
        <w:spacing w:before="91" w:line="197" w:lineRule="exact"/>
        <w:ind w:left="72"/>
        <w:textAlignment w:val="baseline"/>
        <w:rPr>
          <w:rFonts w:ascii="Calibri" w:eastAsia="Calibri" w:hAnsi="Calibri"/>
          <w:color w:val="000000"/>
          <w:spacing w:val="-3"/>
          <w:sz w:val="20"/>
        </w:rPr>
        <w:sectPr w:rsidR="00443C5E">
          <w:headerReference w:type="even" r:id="rId12"/>
          <w:headerReference w:type="default" r:id="rId13"/>
          <w:footerReference w:type="even" r:id="rId14"/>
          <w:headerReference w:type="first" r:id="rId15"/>
          <w:footerReference w:type="first" r:id="rId16"/>
          <w:type w:val="continuous"/>
          <w:pgSz w:w="11909" w:h="16838"/>
          <w:pgMar w:top="1420" w:right="1415" w:bottom="402" w:left="1434" w:header="720" w:footer="720" w:gutter="0"/>
          <w:cols w:space="720"/>
        </w:sectPr>
      </w:pPr>
      <w:bookmarkStart w:id="0" w:name="_Hlk208564017"/>
    </w:p>
    <w:p w14:paraId="470A0B82" w14:textId="2E842B14" w:rsidR="00443C5E" w:rsidRDefault="00CC0ED6"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Pr>
          <w:rFonts w:ascii="Calibri" w:eastAsia="Calibri" w:hAnsi="Calibri"/>
          <w:color w:val="000000"/>
          <w:spacing w:val="-3"/>
          <w:sz w:val="20"/>
        </w:rPr>
        <w:t xml:space="preserve"> Rohan Henry (Chair)</w:t>
      </w:r>
      <w:bookmarkEnd w:id="0"/>
    </w:p>
    <w:p w14:paraId="05DF608D" w14:textId="64313433" w:rsidR="00CC0ED6" w:rsidRDefault="00980262"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Ms</w:t>
      </w:r>
      <w:r w:rsidR="00443C5E">
        <w:rPr>
          <w:rFonts w:ascii="Calibri" w:eastAsia="Calibri" w:hAnsi="Calibri"/>
          <w:color w:val="000000"/>
          <w:spacing w:val="-3"/>
          <w:sz w:val="20"/>
        </w:rPr>
        <w:t>.</w:t>
      </w:r>
      <w:r>
        <w:rPr>
          <w:rFonts w:ascii="Calibri" w:eastAsia="Calibri" w:hAnsi="Calibri"/>
          <w:color w:val="000000"/>
          <w:spacing w:val="-3"/>
          <w:sz w:val="20"/>
        </w:rPr>
        <w:t xml:space="preserve"> </w:t>
      </w:r>
      <w:r w:rsidR="00443C5E">
        <w:rPr>
          <w:rFonts w:ascii="Calibri" w:eastAsia="Calibri" w:hAnsi="Calibri"/>
          <w:color w:val="000000"/>
          <w:spacing w:val="-3"/>
          <w:sz w:val="20"/>
        </w:rPr>
        <w:t>Teagan Shields (Deputy Chair)</w:t>
      </w:r>
    </w:p>
    <w:p w14:paraId="77BED47C" w14:textId="593CE99B" w:rsidR="00443C5E" w:rsidRDefault="00980262"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Ms</w:t>
      </w:r>
      <w:r w:rsidR="00443C5E">
        <w:rPr>
          <w:rFonts w:ascii="Calibri" w:eastAsia="Calibri" w:hAnsi="Calibri"/>
          <w:color w:val="000000"/>
          <w:spacing w:val="-2"/>
          <w:sz w:val="20"/>
        </w:rPr>
        <w:t>.</w:t>
      </w:r>
      <w:r>
        <w:rPr>
          <w:rFonts w:ascii="Calibri" w:eastAsia="Calibri" w:hAnsi="Calibri"/>
          <w:color w:val="000000"/>
          <w:spacing w:val="-2"/>
          <w:sz w:val="20"/>
        </w:rPr>
        <w:t xml:space="preserve"> </w:t>
      </w:r>
      <w:r w:rsidR="00443C5E">
        <w:rPr>
          <w:rFonts w:ascii="Calibri" w:eastAsia="Calibri" w:hAnsi="Calibri"/>
          <w:color w:val="000000"/>
          <w:spacing w:val="-2"/>
          <w:sz w:val="20"/>
        </w:rPr>
        <w:t>Liz Wren</w:t>
      </w:r>
    </w:p>
    <w:p w14:paraId="2D883EF4" w14:textId="5D6244D3" w:rsidR="00EF5245" w:rsidRDefault="00980262" w:rsidP="00443C5E">
      <w:pPr>
        <w:tabs>
          <w:tab w:val="center" w:pos="4567"/>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Dr</w:t>
      </w:r>
      <w:r w:rsidR="00443C5E">
        <w:rPr>
          <w:rFonts w:ascii="Calibri" w:eastAsia="Calibri" w:hAnsi="Calibri"/>
          <w:color w:val="000000"/>
          <w:spacing w:val="-2"/>
          <w:sz w:val="20"/>
        </w:rPr>
        <w:t>.</w:t>
      </w:r>
      <w:r>
        <w:rPr>
          <w:rFonts w:ascii="Calibri" w:eastAsia="Calibri" w:hAnsi="Calibri"/>
          <w:color w:val="000000"/>
          <w:spacing w:val="-2"/>
          <w:sz w:val="20"/>
        </w:rPr>
        <w:t xml:space="preserve"> Cass Hunter</w:t>
      </w:r>
      <w:r w:rsidR="00443C5E">
        <w:rPr>
          <w:rFonts w:ascii="Calibri" w:eastAsia="Calibri" w:hAnsi="Calibri"/>
          <w:color w:val="000000"/>
          <w:spacing w:val="-2"/>
          <w:sz w:val="20"/>
        </w:rPr>
        <w:tab/>
      </w:r>
    </w:p>
    <w:p w14:paraId="282AD587" w14:textId="77777777" w:rsidR="00443C5E" w:rsidRDefault="00980262"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Prof. Stephen van Leeuwen</w:t>
      </w:r>
    </w:p>
    <w:p w14:paraId="5EE3D25B" w14:textId="0B1AFE4B" w:rsidR="00EF5245" w:rsidRDefault="00443C5E"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3"/>
          <w:sz w:val="20"/>
        </w:rPr>
        <w:t>Mr.</w:t>
      </w:r>
      <w:r w:rsidR="00CC0ED6">
        <w:rPr>
          <w:rFonts w:ascii="Calibri" w:eastAsia="Calibri" w:hAnsi="Calibri"/>
          <w:color w:val="000000"/>
          <w:spacing w:val="-3"/>
          <w:sz w:val="20"/>
        </w:rPr>
        <w:t xml:space="preserve"> Damian Morgan-Bulled</w:t>
      </w:r>
    </w:p>
    <w:p w14:paraId="5F911662" w14:textId="1D966A99" w:rsidR="00CC0ED6" w:rsidRDefault="00443C5E" w:rsidP="00443C5E">
      <w:pPr>
        <w:tabs>
          <w:tab w:val="left" w:pos="4680"/>
        </w:tabs>
        <w:spacing w:before="120"/>
        <w:ind w:left="74"/>
        <w:contextualSpacing/>
        <w:textAlignment w:val="baseline"/>
        <w:rPr>
          <w:rFonts w:ascii="Calibri" w:eastAsia="Calibri" w:hAnsi="Calibri"/>
          <w:color w:val="000000"/>
          <w:spacing w:val="-3"/>
          <w:sz w:val="20"/>
        </w:rPr>
      </w:pPr>
      <w:r>
        <w:rPr>
          <w:rFonts w:ascii="Calibri" w:eastAsia="Calibri" w:hAnsi="Calibri"/>
          <w:color w:val="000000"/>
          <w:spacing w:val="-3"/>
          <w:sz w:val="20"/>
        </w:rPr>
        <w:t>Mr. Stan Lui</w:t>
      </w:r>
    </w:p>
    <w:p w14:paraId="7C8160FA" w14:textId="77777777" w:rsidR="00443C5E" w:rsidRDefault="00CC0ED6" w:rsidP="00443C5E">
      <w:pPr>
        <w:tabs>
          <w:tab w:val="left" w:pos="4680"/>
        </w:tabs>
        <w:spacing w:before="120"/>
        <w:ind w:left="74"/>
        <w:contextualSpacing/>
        <w:textAlignment w:val="baseline"/>
        <w:rPr>
          <w:rFonts w:ascii="Calibri" w:eastAsia="Calibri" w:hAnsi="Calibri"/>
          <w:color w:val="000000"/>
          <w:spacing w:val="-3"/>
          <w:sz w:val="20"/>
        </w:rPr>
      </w:pPr>
      <w:r w:rsidRPr="00CC0ED6">
        <w:rPr>
          <w:rFonts w:ascii="Calibri" w:eastAsia="Calibri" w:hAnsi="Calibri"/>
          <w:color w:val="000000"/>
          <w:spacing w:val="-3"/>
          <w:sz w:val="20"/>
        </w:rPr>
        <w:t>Prof. Anne Poelina</w:t>
      </w:r>
    </w:p>
    <w:p w14:paraId="6509E458" w14:textId="513F3297" w:rsidR="00EF5245" w:rsidRDefault="00CC0ED6" w:rsidP="00443C5E">
      <w:pPr>
        <w:tabs>
          <w:tab w:val="left" w:pos="4680"/>
        </w:tabs>
        <w:spacing w:before="120"/>
        <w:ind w:left="74"/>
        <w:contextualSpacing/>
        <w:textAlignment w:val="baseline"/>
        <w:rPr>
          <w:rFonts w:ascii="Calibri" w:eastAsia="Calibri" w:hAnsi="Calibri"/>
          <w:color w:val="000000"/>
          <w:spacing w:val="-3"/>
          <w:sz w:val="20"/>
        </w:rPr>
      </w:pPr>
      <w:r w:rsidRPr="00CC0ED6">
        <w:rPr>
          <w:rFonts w:ascii="Calibri" w:eastAsia="Calibri" w:hAnsi="Calibri"/>
          <w:color w:val="000000"/>
          <w:spacing w:val="-3"/>
          <w:sz w:val="20"/>
        </w:rPr>
        <w:t>Ms</w:t>
      </w:r>
      <w:r w:rsidR="00C17D7F">
        <w:rPr>
          <w:rFonts w:ascii="Calibri" w:eastAsia="Calibri" w:hAnsi="Calibri"/>
          <w:color w:val="000000"/>
          <w:spacing w:val="-3"/>
          <w:sz w:val="20"/>
        </w:rPr>
        <w:t>.</w:t>
      </w:r>
      <w:r w:rsidRPr="00CC0ED6">
        <w:rPr>
          <w:rFonts w:ascii="Calibri" w:eastAsia="Calibri" w:hAnsi="Calibri"/>
          <w:color w:val="000000"/>
          <w:spacing w:val="-3"/>
          <w:sz w:val="20"/>
        </w:rPr>
        <w:t xml:space="preserve"> Rebecca Halliday</w:t>
      </w:r>
    </w:p>
    <w:p w14:paraId="4262065F" w14:textId="77777777" w:rsidR="00443C5E" w:rsidRDefault="00443C5E">
      <w:pPr>
        <w:spacing w:before="2" w:line="245" w:lineRule="exact"/>
        <w:jc w:val="center"/>
        <w:textAlignment w:val="baseline"/>
        <w:rPr>
          <w:rFonts w:ascii="Arial" w:eastAsia="Arial" w:hAnsi="Arial"/>
          <w:color w:val="000000"/>
        </w:rPr>
        <w:sectPr w:rsidR="00443C5E" w:rsidSect="00443C5E">
          <w:type w:val="continuous"/>
          <w:pgSz w:w="11909" w:h="16838"/>
          <w:pgMar w:top="1420" w:right="1415" w:bottom="402" w:left="1434" w:header="720" w:footer="720" w:gutter="0"/>
          <w:cols w:num="2" w:space="720"/>
        </w:sectPr>
      </w:pPr>
    </w:p>
    <w:p w14:paraId="100C147E" w14:textId="7B5DD1CA" w:rsidR="00EF5245" w:rsidRDefault="00EF5245">
      <w:pPr>
        <w:spacing w:before="2" w:line="245" w:lineRule="exact"/>
        <w:jc w:val="center"/>
        <w:textAlignment w:val="baseline"/>
        <w:rPr>
          <w:rFonts w:ascii="Arial" w:eastAsia="Arial" w:hAnsi="Arial"/>
          <w:color w:val="000000"/>
        </w:rPr>
      </w:pPr>
    </w:p>
    <w:sectPr w:rsidR="00EF5245">
      <w:type w:val="continuous"/>
      <w:pgSz w:w="11909" w:h="16838"/>
      <w:pgMar w:top="1420" w:right="1415" w:bottom="402" w:left="14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3646" w14:textId="77777777" w:rsidR="00B8561B" w:rsidRDefault="00B8561B">
      <w:r>
        <w:separator/>
      </w:r>
    </w:p>
  </w:endnote>
  <w:endnote w:type="continuationSeparator" w:id="0">
    <w:p w14:paraId="174548D6" w14:textId="77777777" w:rsidR="00B8561B" w:rsidRDefault="00B8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30EC" w14:textId="4975B2A9" w:rsidR="00F01F92" w:rsidRDefault="00F01F92">
    <w:pPr>
      <w:pStyle w:val="Footer"/>
    </w:pPr>
    <w:r>
      <w:rPr>
        <w:noProof/>
      </w:rPr>
      <mc:AlternateContent>
        <mc:Choice Requires="wps">
          <w:drawing>
            <wp:anchor distT="0" distB="0" distL="0" distR="0" simplePos="0" relativeHeight="251662336" behindDoc="0" locked="0" layoutInCell="1" allowOverlap="1" wp14:anchorId="4353E1F3" wp14:editId="1FB7FE7B">
              <wp:simplePos x="635" y="635"/>
              <wp:positionH relativeFrom="page">
                <wp:align>center</wp:align>
              </wp:positionH>
              <wp:positionV relativeFrom="page">
                <wp:align>bottom</wp:align>
              </wp:positionV>
              <wp:extent cx="551815" cy="376555"/>
              <wp:effectExtent l="0" t="0" r="635" b="0"/>
              <wp:wrapNone/>
              <wp:docPr id="21343645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3E1F3"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49CD" w14:textId="6ABB196A" w:rsidR="00F01F92" w:rsidRDefault="00F01F92">
    <w:pPr>
      <w:pStyle w:val="Footer"/>
    </w:pPr>
    <w:r>
      <w:rPr>
        <w:noProof/>
      </w:rPr>
      <mc:AlternateContent>
        <mc:Choice Requires="wps">
          <w:drawing>
            <wp:anchor distT="0" distB="0" distL="0" distR="0" simplePos="0" relativeHeight="251661312" behindDoc="0" locked="0" layoutInCell="1" allowOverlap="1" wp14:anchorId="26CAE042" wp14:editId="2F4CD3A4">
              <wp:simplePos x="635" y="635"/>
              <wp:positionH relativeFrom="page">
                <wp:align>center</wp:align>
              </wp:positionH>
              <wp:positionV relativeFrom="page">
                <wp:align>bottom</wp:align>
              </wp:positionV>
              <wp:extent cx="551815" cy="376555"/>
              <wp:effectExtent l="0" t="0" r="635" b="0"/>
              <wp:wrapNone/>
              <wp:docPr id="50345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AE042" id="_x0000_t202" coordsize="21600,21600" o:spt="202" path="m,l,21600r21600,l21600,xe">
              <v:stroke joinstyle="miter"/>
              <v:path gradientshapeok="t" o:connecttype="rect"/>
            </v:shapetype>
            <v:shape id="Text Box 4" o:spid="_x0000_s1030"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textbox style="mso-fit-shape-to-text:t" inset="0,0,0,15pt">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C1496" w14:textId="77777777" w:rsidR="00B8561B" w:rsidRDefault="00B8561B"/>
  </w:footnote>
  <w:footnote w:type="continuationSeparator" w:id="0">
    <w:p w14:paraId="45459E08" w14:textId="77777777" w:rsidR="00B8561B" w:rsidRDefault="00B85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87E" w14:textId="3A4077DC" w:rsidR="00F01F92" w:rsidRDefault="00F01F92">
    <w:pPr>
      <w:pStyle w:val="Header"/>
    </w:pPr>
    <w:r>
      <w:rPr>
        <w:noProof/>
      </w:rPr>
      <mc:AlternateContent>
        <mc:Choice Requires="wps">
          <w:drawing>
            <wp:anchor distT="0" distB="0" distL="0" distR="0" simplePos="0" relativeHeight="251659264" behindDoc="0" locked="0" layoutInCell="1" allowOverlap="1" wp14:anchorId="5643112F" wp14:editId="533B57EB">
              <wp:simplePos x="635" y="635"/>
              <wp:positionH relativeFrom="page">
                <wp:align>center</wp:align>
              </wp:positionH>
              <wp:positionV relativeFrom="page">
                <wp:align>top</wp:align>
              </wp:positionV>
              <wp:extent cx="551815" cy="376555"/>
              <wp:effectExtent l="0" t="0" r="635" b="4445"/>
              <wp:wrapNone/>
              <wp:docPr id="1849470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3112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75D2" w14:textId="2EB2B300" w:rsidR="00F01F92" w:rsidRDefault="00F01F92">
    <w:pPr>
      <w:pStyle w:val="Header"/>
    </w:pPr>
    <w:r>
      <w:rPr>
        <w:noProof/>
      </w:rPr>
      <mc:AlternateContent>
        <mc:Choice Requires="wps">
          <w:drawing>
            <wp:anchor distT="0" distB="0" distL="0" distR="0" simplePos="0" relativeHeight="251660288" behindDoc="0" locked="0" layoutInCell="1" allowOverlap="1" wp14:anchorId="1889C8DD" wp14:editId="0E42FFAB">
              <wp:simplePos x="914400" y="457200"/>
              <wp:positionH relativeFrom="page">
                <wp:align>center</wp:align>
              </wp:positionH>
              <wp:positionV relativeFrom="page">
                <wp:align>top</wp:align>
              </wp:positionV>
              <wp:extent cx="551815" cy="376555"/>
              <wp:effectExtent l="0" t="0" r="635" b="4445"/>
              <wp:wrapNone/>
              <wp:docPr id="12063248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5756FD" w14:textId="3A186DEF" w:rsidR="00F01F92" w:rsidRPr="00F01F92" w:rsidRDefault="00F01F92" w:rsidP="00F01F92">
                          <w:pPr>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89C8DD"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4E5756FD" w14:textId="3A186DEF" w:rsidR="00F01F92" w:rsidRPr="00F01F92" w:rsidRDefault="00F01F92" w:rsidP="00F01F92">
                    <w:pPr>
                      <w:rPr>
                        <w:rFonts w:ascii="Calibri" w:eastAsia="Calibri" w:hAnsi="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AE4A" w14:textId="112B2085" w:rsidR="00F01F92" w:rsidRDefault="00F01F92">
    <w:pPr>
      <w:pStyle w:val="Header"/>
    </w:pPr>
    <w:r>
      <w:rPr>
        <w:noProof/>
      </w:rPr>
      <mc:AlternateContent>
        <mc:Choice Requires="wps">
          <w:drawing>
            <wp:anchor distT="0" distB="0" distL="0" distR="0" simplePos="0" relativeHeight="251658240" behindDoc="0" locked="0" layoutInCell="1" allowOverlap="1" wp14:anchorId="3E8B4C22" wp14:editId="1872A1F3">
              <wp:simplePos x="635" y="635"/>
              <wp:positionH relativeFrom="page">
                <wp:align>center</wp:align>
              </wp:positionH>
              <wp:positionV relativeFrom="page">
                <wp:align>top</wp:align>
              </wp:positionV>
              <wp:extent cx="551815" cy="376555"/>
              <wp:effectExtent l="0" t="0" r="635" b="4445"/>
              <wp:wrapNone/>
              <wp:docPr id="2046800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B4C22" id="_x0000_t202" coordsize="21600,21600" o:spt="202" path="m,l,21600r21600,l21600,xe">
              <v:stroke joinstyle="miter"/>
              <v:path gradientshapeok="t" o:connecttype="rect"/>
            </v:shapetype>
            <v:shape id="Text Box 1" o:spid="_x0000_s1029"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D7E30"/>
    <w:multiLevelType w:val="multilevel"/>
    <w:tmpl w:val="A8C64BAA"/>
    <w:lvl w:ilvl="0">
      <w:start w:val="1"/>
      <w:numFmt w:val="decimal"/>
      <w:lvlText w:val="%1."/>
      <w:lvlJc w:val="left"/>
      <w:pPr>
        <w:tabs>
          <w:tab w:val="left" w:pos="360"/>
        </w:tabs>
      </w:pPr>
      <w:rPr>
        <w:rFonts w:ascii="Calibri" w:eastAsia="Calibri" w:hAnsi="Calibr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5827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45"/>
    <w:rsid w:val="000565C9"/>
    <w:rsid w:val="000B1FED"/>
    <w:rsid w:val="00122B13"/>
    <w:rsid w:val="00182CBF"/>
    <w:rsid w:val="00253EF9"/>
    <w:rsid w:val="00287F81"/>
    <w:rsid w:val="002E3874"/>
    <w:rsid w:val="00311902"/>
    <w:rsid w:val="00351D1D"/>
    <w:rsid w:val="0041721D"/>
    <w:rsid w:val="00443C5E"/>
    <w:rsid w:val="00453248"/>
    <w:rsid w:val="004614B8"/>
    <w:rsid w:val="004C5DA9"/>
    <w:rsid w:val="00577219"/>
    <w:rsid w:val="00845E05"/>
    <w:rsid w:val="00911A58"/>
    <w:rsid w:val="00980262"/>
    <w:rsid w:val="0098399E"/>
    <w:rsid w:val="00991AFE"/>
    <w:rsid w:val="009A55A5"/>
    <w:rsid w:val="00B8561B"/>
    <w:rsid w:val="00BF7BB8"/>
    <w:rsid w:val="00C17D7F"/>
    <w:rsid w:val="00C85BE8"/>
    <w:rsid w:val="00CC0ED6"/>
    <w:rsid w:val="00D42C01"/>
    <w:rsid w:val="00E04986"/>
    <w:rsid w:val="00E41C0A"/>
    <w:rsid w:val="00E70798"/>
    <w:rsid w:val="00EF5245"/>
    <w:rsid w:val="00F01F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F343"/>
  <w15:docId w15:val="{44577DD0-4525-4B09-982B-EE233DB5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92"/>
    <w:pPr>
      <w:tabs>
        <w:tab w:val="center" w:pos="4513"/>
        <w:tab w:val="right" w:pos="9026"/>
      </w:tabs>
    </w:pPr>
  </w:style>
  <w:style w:type="character" w:customStyle="1" w:styleId="HeaderChar">
    <w:name w:val="Header Char"/>
    <w:basedOn w:val="DefaultParagraphFont"/>
    <w:link w:val="Header"/>
    <w:uiPriority w:val="99"/>
    <w:rsid w:val="00F01F92"/>
  </w:style>
  <w:style w:type="paragraph" w:styleId="Footer">
    <w:name w:val="footer"/>
    <w:basedOn w:val="Normal"/>
    <w:link w:val="FooterChar"/>
    <w:uiPriority w:val="99"/>
    <w:unhideWhenUsed/>
    <w:rsid w:val="00F01F92"/>
    <w:pPr>
      <w:tabs>
        <w:tab w:val="center" w:pos="4513"/>
        <w:tab w:val="right" w:pos="9026"/>
      </w:tabs>
    </w:pPr>
  </w:style>
  <w:style w:type="character" w:customStyle="1" w:styleId="FooterChar">
    <w:name w:val="Footer Char"/>
    <w:basedOn w:val="DefaultParagraphFont"/>
    <w:link w:val="Footer"/>
    <w:uiPriority w:val="99"/>
    <w:rsid w:val="00F01F92"/>
  </w:style>
  <w:style w:type="paragraph" w:styleId="Revision">
    <w:name w:val="Revision"/>
    <w:hidden/>
    <w:uiPriority w:val="99"/>
    <w:semiHidden/>
    <w:rsid w:val="00983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57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B9C08D2C-AF40-4422-B42D-46DF5FB0B5CA}">
  <ds:schemaRefs>
    <ds:schemaRef ds:uri="http://schemas.openxmlformats.org/officeDocument/2006/bibliography"/>
  </ds:schemaRefs>
</ds:datastoreItem>
</file>

<file path=customXml/itemProps2.xml><?xml version="1.0" encoding="utf-8"?>
<ds:datastoreItem xmlns:ds="http://schemas.openxmlformats.org/officeDocument/2006/customXml" ds:itemID="{304C80F8-F99A-408F-9FFC-EB10EB04372C}">
  <ds:schemaRefs>
    <ds:schemaRef ds:uri="http://schemas.microsoft.com/sharepoint/v3/contenttype/forms"/>
  </ds:schemaRefs>
</ds:datastoreItem>
</file>

<file path=customXml/itemProps3.xml><?xml version="1.0" encoding="utf-8"?>
<ds:datastoreItem xmlns:ds="http://schemas.openxmlformats.org/officeDocument/2006/customXml" ds:itemID="{7F61B958-42DC-4E95-9297-E92BF46E6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0D1D44-9F47-4461-BDB9-B8BC579B6DA5}">
  <ds:schemaRefs>
    <ds:schemaRef ds:uri="d869c146-c82e-4435-92e4-da91542262fd"/>
    <ds:schemaRef ds:uri="http://purl.org/dc/dcmitype/"/>
    <ds:schemaRef ds:uri="http://www.w3.org/XML/1998/namespace"/>
    <ds:schemaRef ds:uri="http://schemas.microsoft.com/sharepoint/v3"/>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purl.org/dc/elements/1.1/"/>
    <ds:schemaRef ds:uri="a95247a4-6a6b-40fb-87b6-0fb2f012c536"/>
    <ds:schemaRef ds:uri="d81c2681-db7b-4a56-9abd-a3238a78f6b2"/>
    <ds:schemaRef ds:uri="b98728ac-f998-415c-abee-6b046fb1441e"/>
    <ds:schemaRef ds:uri="http://schemas.microsoft.com/office/2006/metadata/propertie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Indigenous Advisory Committee Bulletin Meeting 53</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Advisory Committee Bulletin Meeting 53</dc:title>
  <dc:creator>Department of Climate Change, Energy, the Environment and Water</dc:creator>
  <cp:revision>4</cp:revision>
  <dcterms:created xsi:type="dcterms:W3CDTF">2025-09-22T04:23:00Z</dcterms:created>
  <dcterms:modified xsi:type="dcterms:W3CDTF">2025-09-24T00:51:00Z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79ffb1ca,6e3cad28,47e70e47</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1e022390,7f37d184,78848e13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ies>
</file>