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AFF0" w14:textId="040EFBB1" w:rsidR="009D4A8A" w:rsidRPr="001F0574" w:rsidRDefault="006962D6" w:rsidP="001F0574">
      <w:pPr>
        <w:rPr>
          <w:rStyle w:val="Strong"/>
        </w:rPr>
      </w:pPr>
      <w:r w:rsidRPr="001F0574">
        <w:rPr>
          <w:rStyle w:val="Strong"/>
        </w:rPr>
        <w:t>This is a suggested pre-referral meeting agenda. Please modify this agenda to suit your requirements.</w:t>
      </w:r>
    </w:p>
    <w:p w14:paraId="4A8D3B45" w14:textId="4DDA6E9F" w:rsidR="00C60882" w:rsidRDefault="00E81103" w:rsidP="00A80DA0">
      <w:pPr>
        <w:pStyle w:val="Heading1"/>
        <w:spacing w:after="240"/>
        <w:contextualSpacing w:val="0"/>
      </w:pPr>
      <w:r>
        <w:t>Pre-referral meeting agend</w:t>
      </w:r>
      <w:r w:rsidR="00A80DA0">
        <w:t>a</w:t>
      </w:r>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2267"/>
        <w:gridCol w:w="2267"/>
        <w:gridCol w:w="2268"/>
        <w:gridCol w:w="2268"/>
      </w:tblGrid>
      <w:tr w:rsidR="00D677A5" w14:paraId="2E1F3A2D" w14:textId="60044B94" w:rsidTr="00D677A5">
        <w:tc>
          <w:tcPr>
            <w:tcW w:w="1250" w:type="pct"/>
            <w:tcMar>
              <w:left w:w="108" w:type="dxa"/>
              <w:right w:w="108" w:type="dxa"/>
            </w:tcMar>
          </w:tcPr>
          <w:p w14:paraId="5844055D" w14:textId="118F00A9" w:rsidR="00D677A5" w:rsidRPr="00C65D26" w:rsidRDefault="00F020A1" w:rsidP="00733C1C">
            <w:pPr>
              <w:pStyle w:val="TableText"/>
              <w:rPr>
                <w:rStyle w:val="Strong"/>
              </w:rPr>
            </w:pPr>
            <w:bookmarkStart w:id="0" w:name="Title_Glossary"/>
            <w:bookmarkEnd w:id="0"/>
            <w:r>
              <w:rPr>
                <w:rStyle w:val="Strong"/>
              </w:rPr>
              <w:t>Proponent name</w:t>
            </w:r>
          </w:p>
        </w:tc>
        <w:tc>
          <w:tcPr>
            <w:tcW w:w="1250" w:type="pct"/>
            <w:tcMar>
              <w:left w:w="108" w:type="dxa"/>
              <w:right w:w="108" w:type="dxa"/>
            </w:tcMar>
          </w:tcPr>
          <w:p w14:paraId="448E9CB9" w14:textId="4FD2A1E0" w:rsidR="00D677A5" w:rsidRPr="00E7512A" w:rsidRDefault="00D677A5" w:rsidP="00733C1C">
            <w:pPr>
              <w:pStyle w:val="TableText"/>
              <w:rPr>
                <w:rStyle w:val="Advisorytext"/>
              </w:rPr>
            </w:pPr>
          </w:p>
        </w:tc>
        <w:tc>
          <w:tcPr>
            <w:tcW w:w="1250" w:type="pct"/>
          </w:tcPr>
          <w:p w14:paraId="6EE62B04" w14:textId="2E922F4E" w:rsidR="00D677A5" w:rsidRPr="00735088" w:rsidRDefault="00F73B4E" w:rsidP="00733C1C">
            <w:pPr>
              <w:pStyle w:val="TableText"/>
              <w:rPr>
                <w:rStyle w:val="Strong"/>
              </w:rPr>
            </w:pPr>
            <w:r>
              <w:rPr>
                <w:rStyle w:val="Strong"/>
              </w:rPr>
              <w:t xml:space="preserve">DCCEEW </w:t>
            </w:r>
            <w:r w:rsidR="00735088">
              <w:rPr>
                <w:rStyle w:val="Strong"/>
              </w:rPr>
              <w:t>officer</w:t>
            </w:r>
          </w:p>
        </w:tc>
        <w:tc>
          <w:tcPr>
            <w:tcW w:w="1250" w:type="pct"/>
          </w:tcPr>
          <w:p w14:paraId="1FD46674" w14:textId="392D88F2" w:rsidR="00D677A5" w:rsidRPr="001F0574" w:rsidRDefault="00D677A5" w:rsidP="00733C1C">
            <w:pPr>
              <w:pStyle w:val="TableText"/>
              <w:rPr>
                <w:rStyle w:val="Advisorytext"/>
                <w:shd w:val="clear" w:color="auto" w:fill="auto"/>
              </w:rPr>
            </w:pPr>
          </w:p>
        </w:tc>
      </w:tr>
      <w:tr w:rsidR="00D677A5" w14:paraId="568E79A7" w14:textId="3BEDDACE" w:rsidTr="00D677A5">
        <w:tc>
          <w:tcPr>
            <w:tcW w:w="1250" w:type="pct"/>
            <w:tcMar>
              <w:left w:w="108" w:type="dxa"/>
              <w:right w:w="108" w:type="dxa"/>
            </w:tcMar>
          </w:tcPr>
          <w:p w14:paraId="7F07A96F" w14:textId="313CC9C6" w:rsidR="00D677A5" w:rsidRPr="00C65D26" w:rsidRDefault="00F020A1" w:rsidP="00733C1C">
            <w:pPr>
              <w:pStyle w:val="TableText"/>
              <w:rPr>
                <w:rStyle w:val="Strong"/>
              </w:rPr>
            </w:pPr>
            <w:r>
              <w:rPr>
                <w:rStyle w:val="Strong"/>
              </w:rPr>
              <w:t>Other attendees</w:t>
            </w:r>
          </w:p>
        </w:tc>
        <w:tc>
          <w:tcPr>
            <w:tcW w:w="1250" w:type="pct"/>
            <w:tcMar>
              <w:left w:w="108" w:type="dxa"/>
              <w:right w:w="108" w:type="dxa"/>
            </w:tcMar>
          </w:tcPr>
          <w:p w14:paraId="63FC0667" w14:textId="22EB7BF1" w:rsidR="00D677A5" w:rsidRPr="001F0574" w:rsidRDefault="00D677A5" w:rsidP="00733C1C">
            <w:pPr>
              <w:pStyle w:val="TableText"/>
            </w:pPr>
          </w:p>
        </w:tc>
        <w:tc>
          <w:tcPr>
            <w:tcW w:w="1250" w:type="pct"/>
          </w:tcPr>
          <w:p w14:paraId="13AF3E13" w14:textId="0C111FC9" w:rsidR="00D677A5" w:rsidRPr="00F73B4E" w:rsidRDefault="00F73B4E" w:rsidP="00733C1C">
            <w:pPr>
              <w:pStyle w:val="TableText"/>
              <w:rPr>
                <w:rStyle w:val="Strong"/>
              </w:rPr>
            </w:pPr>
            <w:r>
              <w:rPr>
                <w:rStyle w:val="Strong"/>
              </w:rPr>
              <w:t>Date</w:t>
            </w:r>
          </w:p>
        </w:tc>
        <w:tc>
          <w:tcPr>
            <w:tcW w:w="1250" w:type="pct"/>
          </w:tcPr>
          <w:p w14:paraId="2EEFDC11" w14:textId="3EFE7FBA" w:rsidR="00D677A5" w:rsidRPr="00F73B4E" w:rsidRDefault="00D677A5" w:rsidP="00733C1C">
            <w:pPr>
              <w:pStyle w:val="TableText"/>
              <w:rPr>
                <w:rStyle w:val="Advisorytext"/>
              </w:rPr>
            </w:pPr>
          </w:p>
        </w:tc>
      </w:tr>
      <w:tr w:rsidR="00F020A1" w14:paraId="49EA6AB3" w14:textId="77777777" w:rsidTr="00D677A5">
        <w:tc>
          <w:tcPr>
            <w:tcW w:w="1250" w:type="pct"/>
            <w:tcMar>
              <w:left w:w="108" w:type="dxa"/>
              <w:right w:w="108" w:type="dxa"/>
            </w:tcMar>
          </w:tcPr>
          <w:p w14:paraId="7BA4E8BE" w14:textId="2ECF355D" w:rsidR="00F020A1" w:rsidRDefault="00F020A1" w:rsidP="00733C1C">
            <w:pPr>
              <w:pStyle w:val="TableText"/>
              <w:rPr>
                <w:rStyle w:val="Strong"/>
              </w:rPr>
            </w:pPr>
            <w:r>
              <w:rPr>
                <w:rStyle w:val="Strong"/>
              </w:rPr>
              <w:t>Jurisdiction</w:t>
            </w:r>
          </w:p>
        </w:tc>
        <w:tc>
          <w:tcPr>
            <w:tcW w:w="1250" w:type="pct"/>
            <w:tcMar>
              <w:left w:w="108" w:type="dxa"/>
              <w:right w:w="108" w:type="dxa"/>
            </w:tcMar>
          </w:tcPr>
          <w:p w14:paraId="0081AAE7" w14:textId="4476DEBB" w:rsidR="00F020A1" w:rsidRPr="001F0574" w:rsidRDefault="00F020A1" w:rsidP="00733C1C">
            <w:pPr>
              <w:pStyle w:val="TableText"/>
            </w:pPr>
          </w:p>
        </w:tc>
        <w:tc>
          <w:tcPr>
            <w:tcW w:w="1250" w:type="pct"/>
          </w:tcPr>
          <w:p w14:paraId="0986065C" w14:textId="76B01EE0" w:rsidR="00F020A1" w:rsidRPr="00F73B4E" w:rsidRDefault="00F73B4E" w:rsidP="00733C1C">
            <w:pPr>
              <w:pStyle w:val="TableText"/>
              <w:rPr>
                <w:rStyle w:val="Strong"/>
              </w:rPr>
            </w:pPr>
            <w:r>
              <w:rPr>
                <w:rStyle w:val="Strong"/>
              </w:rPr>
              <w:t>Time</w:t>
            </w:r>
          </w:p>
        </w:tc>
        <w:tc>
          <w:tcPr>
            <w:tcW w:w="1250" w:type="pct"/>
          </w:tcPr>
          <w:p w14:paraId="75AEB1DD" w14:textId="1F4B95CF" w:rsidR="00F020A1" w:rsidRPr="001F0574" w:rsidRDefault="00F020A1" w:rsidP="00733C1C">
            <w:pPr>
              <w:pStyle w:val="TableText"/>
            </w:pPr>
          </w:p>
        </w:tc>
      </w:tr>
    </w:tbl>
    <w:p w14:paraId="3A6FD057" w14:textId="1DB72B1B" w:rsidR="00C61B8A" w:rsidRDefault="00C61B8A" w:rsidP="0048658C"/>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7655"/>
        <w:gridCol w:w="1415"/>
      </w:tblGrid>
      <w:tr w:rsidR="00F87AD7" w14:paraId="598ABC85" w14:textId="77777777" w:rsidTr="00FE4A8B">
        <w:tc>
          <w:tcPr>
            <w:tcW w:w="4220" w:type="pct"/>
            <w:tcMar>
              <w:left w:w="108" w:type="dxa"/>
              <w:right w:w="108" w:type="dxa"/>
            </w:tcMar>
          </w:tcPr>
          <w:p w14:paraId="7F2D4B4D" w14:textId="2B82BD54" w:rsidR="00F87AD7" w:rsidRPr="00C65D26" w:rsidRDefault="00FE4A8B" w:rsidP="00114C69">
            <w:pPr>
              <w:pStyle w:val="TableText"/>
              <w:spacing w:before="120" w:after="120"/>
              <w:rPr>
                <w:rStyle w:val="Strong"/>
              </w:rPr>
            </w:pPr>
            <w:r>
              <w:rPr>
                <w:rStyle w:val="Strong"/>
              </w:rPr>
              <w:t>Pre-referral discussion</w:t>
            </w:r>
          </w:p>
        </w:tc>
        <w:tc>
          <w:tcPr>
            <w:tcW w:w="780" w:type="pct"/>
            <w:tcMar>
              <w:left w:w="108" w:type="dxa"/>
              <w:right w:w="108" w:type="dxa"/>
            </w:tcMar>
          </w:tcPr>
          <w:p w14:paraId="07AED76A" w14:textId="0160842F" w:rsidR="00F87AD7" w:rsidRPr="00FE4A8B" w:rsidRDefault="00FE4A8B" w:rsidP="00114C69">
            <w:pPr>
              <w:pStyle w:val="TableText"/>
              <w:spacing w:before="120" w:after="120"/>
              <w:rPr>
                <w:rStyle w:val="Strong"/>
              </w:rPr>
            </w:pPr>
            <w:r w:rsidRPr="00FE4A8B">
              <w:rPr>
                <w:rStyle w:val="Strong"/>
              </w:rPr>
              <w:t>Time</w:t>
            </w:r>
          </w:p>
        </w:tc>
      </w:tr>
      <w:tr w:rsidR="00F87AD7" w14:paraId="1BC3CFC0" w14:textId="77777777" w:rsidTr="00FE4A8B">
        <w:tc>
          <w:tcPr>
            <w:tcW w:w="4220" w:type="pct"/>
            <w:tcMar>
              <w:left w:w="108" w:type="dxa"/>
              <w:right w:w="108" w:type="dxa"/>
            </w:tcMar>
          </w:tcPr>
          <w:p w14:paraId="3A6F314E" w14:textId="429FFF76" w:rsidR="00F87AD7" w:rsidRPr="00FE4A8B" w:rsidRDefault="00F079CF" w:rsidP="00FE4A8B">
            <w:pPr>
              <w:pStyle w:val="ListBullet"/>
            </w:pPr>
            <w:r>
              <w:t>Referral history – including details of previous current referrals (if applicable).</w:t>
            </w:r>
          </w:p>
        </w:tc>
        <w:tc>
          <w:tcPr>
            <w:tcW w:w="780" w:type="pct"/>
            <w:tcMar>
              <w:left w:w="108" w:type="dxa"/>
              <w:right w:w="108" w:type="dxa"/>
            </w:tcMar>
          </w:tcPr>
          <w:p w14:paraId="56C341E5" w14:textId="36C9C2B1" w:rsidR="00F87AD7" w:rsidRPr="00FE64BC" w:rsidRDefault="00F87AD7" w:rsidP="00733C1C">
            <w:pPr>
              <w:pStyle w:val="TableText"/>
            </w:pPr>
          </w:p>
        </w:tc>
      </w:tr>
      <w:tr w:rsidR="00F079CF" w14:paraId="7EDC9B6B" w14:textId="77777777" w:rsidTr="00FE4A8B">
        <w:tc>
          <w:tcPr>
            <w:tcW w:w="4220" w:type="pct"/>
            <w:tcMar>
              <w:left w:w="108" w:type="dxa"/>
              <w:right w:w="108" w:type="dxa"/>
            </w:tcMar>
          </w:tcPr>
          <w:p w14:paraId="201C9B1D" w14:textId="77777777" w:rsidR="00F079CF" w:rsidRDefault="00F079CF" w:rsidP="00FE4A8B">
            <w:pPr>
              <w:pStyle w:val="ListBullet"/>
            </w:pPr>
            <w:r>
              <w:t>Discuss project</w:t>
            </w:r>
          </w:p>
          <w:p w14:paraId="01BEDD68" w14:textId="77777777" w:rsidR="00F079CF" w:rsidRDefault="00F079CF" w:rsidP="00F079CF">
            <w:pPr>
              <w:pStyle w:val="ListBullet2"/>
            </w:pPr>
            <w:r>
              <w:t>Background of the proposed action (including split referrals, part of a larger action</w:t>
            </w:r>
            <w:r w:rsidR="00257886">
              <w:t xml:space="preserve"> – if applicable).</w:t>
            </w:r>
          </w:p>
          <w:p w14:paraId="017E55ED" w14:textId="78309A20" w:rsidR="00257886" w:rsidRDefault="009D6B10" w:rsidP="00F079CF">
            <w:pPr>
              <w:pStyle w:val="ListBullet2"/>
            </w:pPr>
            <w:r w:rsidRPr="009D6B10">
              <w:t>Description of the proposed action including alternative solutions considered to avoid or minimise impacts to Matters of National Environmental Significance (MNES).</w:t>
            </w:r>
          </w:p>
        </w:tc>
        <w:tc>
          <w:tcPr>
            <w:tcW w:w="780" w:type="pct"/>
            <w:tcMar>
              <w:left w:w="108" w:type="dxa"/>
              <w:right w:w="108" w:type="dxa"/>
            </w:tcMar>
          </w:tcPr>
          <w:p w14:paraId="66B31294" w14:textId="77777777" w:rsidR="00F079CF" w:rsidRPr="00FE64BC" w:rsidRDefault="00F079CF" w:rsidP="00733C1C">
            <w:pPr>
              <w:pStyle w:val="TableText"/>
            </w:pPr>
          </w:p>
        </w:tc>
      </w:tr>
      <w:tr w:rsidR="009D6B10" w14:paraId="27293786" w14:textId="77777777" w:rsidTr="00324F8D">
        <w:trPr>
          <w:cantSplit/>
        </w:trPr>
        <w:tc>
          <w:tcPr>
            <w:tcW w:w="4220" w:type="pct"/>
            <w:tcMar>
              <w:left w:w="108" w:type="dxa"/>
              <w:right w:w="108" w:type="dxa"/>
            </w:tcMar>
          </w:tcPr>
          <w:p w14:paraId="559163C8" w14:textId="77777777" w:rsidR="009D6B10" w:rsidRDefault="004021FF" w:rsidP="00FE4A8B">
            <w:pPr>
              <w:pStyle w:val="ListBullet"/>
            </w:pPr>
            <w:r w:rsidRPr="004021FF">
              <w:t>Matters of National Environmental Significance</w:t>
            </w:r>
            <w:r w:rsidR="00BB52E2">
              <w:t xml:space="preserve"> (MNES)</w:t>
            </w:r>
          </w:p>
          <w:p w14:paraId="075EB574" w14:textId="0FF944E8" w:rsidR="00BB52E2" w:rsidRDefault="00515367" w:rsidP="00BB52E2">
            <w:pPr>
              <w:pStyle w:val="ListBullet2"/>
            </w:pPr>
            <w:r w:rsidRPr="00515367">
              <w:t>Identify MNES likely to be directly or indirectly impacted by the proposed action</w:t>
            </w:r>
          </w:p>
          <w:p w14:paraId="1329A761" w14:textId="3A3B307D" w:rsidR="00C60EAF" w:rsidRDefault="00C60EAF" w:rsidP="00C60EAF">
            <w:pPr>
              <w:pStyle w:val="ListBullet2"/>
            </w:pPr>
            <w:r>
              <w:t xml:space="preserve">If available, provide accurate and up-to-date information including surveys, </w:t>
            </w:r>
            <w:r w:rsidR="001F0574">
              <w:t>mapping,</w:t>
            </w:r>
            <w:r>
              <w:t xml:space="preserve"> and supporting details on specific MNES.</w:t>
            </w:r>
          </w:p>
          <w:p w14:paraId="37323953" w14:textId="4006F833" w:rsidR="00515367" w:rsidRDefault="00C60EAF" w:rsidP="00C60EAF">
            <w:pPr>
              <w:pStyle w:val="ListBullet2"/>
            </w:pPr>
            <w:r>
              <w:t>Department to discuss any suggested additional information required to determine the scale and severity of impacts to MNES as a result of the proposed action.</w:t>
            </w:r>
          </w:p>
        </w:tc>
        <w:tc>
          <w:tcPr>
            <w:tcW w:w="780" w:type="pct"/>
            <w:tcMar>
              <w:left w:w="108" w:type="dxa"/>
              <w:right w:w="108" w:type="dxa"/>
            </w:tcMar>
          </w:tcPr>
          <w:p w14:paraId="1CCE0882" w14:textId="77777777" w:rsidR="009D6B10" w:rsidRPr="00FE64BC" w:rsidRDefault="009D6B10" w:rsidP="00733C1C">
            <w:pPr>
              <w:pStyle w:val="TableText"/>
            </w:pPr>
          </w:p>
        </w:tc>
      </w:tr>
      <w:tr w:rsidR="003D34F8" w14:paraId="47E1863D" w14:textId="77777777" w:rsidTr="00FE4A8B">
        <w:tc>
          <w:tcPr>
            <w:tcW w:w="4220" w:type="pct"/>
            <w:tcMar>
              <w:left w:w="108" w:type="dxa"/>
              <w:right w:w="108" w:type="dxa"/>
            </w:tcMar>
          </w:tcPr>
          <w:p w14:paraId="24470F43" w14:textId="77777777" w:rsidR="003D34F8" w:rsidRDefault="002F3541" w:rsidP="00FE4A8B">
            <w:pPr>
              <w:pStyle w:val="ListBullet"/>
            </w:pPr>
            <w:r w:rsidRPr="002F3541">
              <w:t>Avoid, minimise and mitigate</w:t>
            </w:r>
          </w:p>
          <w:p w14:paraId="46CA7C3C" w14:textId="42E1E8CA" w:rsidR="002F3541" w:rsidRPr="004021FF" w:rsidRDefault="00EF75FE" w:rsidP="002F3541">
            <w:pPr>
              <w:pStyle w:val="ListBullet2"/>
            </w:pPr>
            <w:r w:rsidRPr="00EF75FE">
              <w:t>Discuss mitigation and management measures proposed to avoid or minimise impacts to identified MNES.</w:t>
            </w:r>
          </w:p>
        </w:tc>
        <w:tc>
          <w:tcPr>
            <w:tcW w:w="780" w:type="pct"/>
            <w:tcMar>
              <w:left w:w="108" w:type="dxa"/>
              <w:right w:w="108" w:type="dxa"/>
            </w:tcMar>
          </w:tcPr>
          <w:p w14:paraId="610CECB3" w14:textId="77777777" w:rsidR="003D34F8" w:rsidRPr="00FE64BC" w:rsidRDefault="003D34F8" w:rsidP="00733C1C">
            <w:pPr>
              <w:pStyle w:val="TableText"/>
            </w:pPr>
          </w:p>
        </w:tc>
      </w:tr>
      <w:tr w:rsidR="00EF75FE" w14:paraId="1A770F6C" w14:textId="77777777" w:rsidTr="00FE4A8B">
        <w:tc>
          <w:tcPr>
            <w:tcW w:w="4220" w:type="pct"/>
            <w:tcMar>
              <w:left w:w="108" w:type="dxa"/>
              <w:right w:w="108" w:type="dxa"/>
            </w:tcMar>
          </w:tcPr>
          <w:p w14:paraId="387FC37C" w14:textId="77777777" w:rsidR="00EF75FE" w:rsidRDefault="001202E0" w:rsidP="00FE4A8B">
            <w:pPr>
              <w:pStyle w:val="ListBullet"/>
            </w:pPr>
            <w:r w:rsidRPr="001202E0">
              <w:t>Environmental offsets (if applicable)</w:t>
            </w:r>
          </w:p>
          <w:p w14:paraId="3335F2BA" w14:textId="2971FA7A" w:rsidR="00FB3EE2" w:rsidRPr="002F3541" w:rsidRDefault="00FB3EE2" w:rsidP="00FB3EE2">
            <w:pPr>
              <w:pStyle w:val="ListBullet2"/>
            </w:pPr>
            <w:r w:rsidRPr="00FB3EE2">
              <w:t>Note that while offsets cannot be taken into account in the referral decision, it may be relevant in deciding the appropriate level of assessment and be considered at the assessment and approval stages.</w:t>
            </w:r>
          </w:p>
        </w:tc>
        <w:tc>
          <w:tcPr>
            <w:tcW w:w="780" w:type="pct"/>
            <w:tcMar>
              <w:left w:w="108" w:type="dxa"/>
              <w:right w:w="108" w:type="dxa"/>
            </w:tcMar>
          </w:tcPr>
          <w:p w14:paraId="37AD9D44" w14:textId="77777777" w:rsidR="00EF75FE" w:rsidRPr="00FE64BC" w:rsidRDefault="00EF75FE" w:rsidP="00733C1C">
            <w:pPr>
              <w:pStyle w:val="TableText"/>
            </w:pPr>
          </w:p>
        </w:tc>
      </w:tr>
      <w:tr w:rsidR="00FB3EE2" w14:paraId="3E48EF7F" w14:textId="77777777" w:rsidTr="00FE4A8B">
        <w:tc>
          <w:tcPr>
            <w:tcW w:w="4220" w:type="pct"/>
            <w:tcMar>
              <w:left w:w="108" w:type="dxa"/>
              <w:right w:w="108" w:type="dxa"/>
            </w:tcMar>
          </w:tcPr>
          <w:p w14:paraId="5E0DBD9C" w14:textId="327C1217" w:rsidR="00FB3EE2" w:rsidRDefault="0003654C" w:rsidP="001F0574">
            <w:pPr>
              <w:pStyle w:val="ListBullet"/>
            </w:pPr>
            <w:r w:rsidRPr="0003654C">
              <w:t>Any other issues</w:t>
            </w:r>
            <w:r>
              <w:t xml:space="preserve"> or </w:t>
            </w:r>
            <w:r w:rsidRPr="0003654C">
              <w:t>areas to be included by proponent</w:t>
            </w:r>
            <w:r>
              <w:t xml:space="preserve"> or </w:t>
            </w:r>
            <w:r w:rsidRPr="0003654C">
              <w:t>consultant (please provide details):</w:t>
            </w:r>
          </w:p>
          <w:p w14:paraId="2E5A6E4B" w14:textId="3B5CC651" w:rsidR="00490102" w:rsidRPr="001202E0" w:rsidRDefault="00DB2892" w:rsidP="00490102">
            <w:pPr>
              <w:pStyle w:val="ListBullet2"/>
            </w:pPr>
            <w:r w:rsidRPr="00DB2892">
              <w:lastRenderedPageBreak/>
              <w:t>If applicable, clarify the timing and details for any external processes that may need to be considered as part of a referral e.g. Independent Expert Scientific Committee on Coal Seam Gas and Large Coal Mining Development (IESC), etc.</w:t>
            </w:r>
          </w:p>
        </w:tc>
        <w:tc>
          <w:tcPr>
            <w:tcW w:w="780" w:type="pct"/>
            <w:tcMar>
              <w:left w:w="108" w:type="dxa"/>
              <w:right w:w="108" w:type="dxa"/>
            </w:tcMar>
          </w:tcPr>
          <w:p w14:paraId="5E45FEB3" w14:textId="77777777" w:rsidR="00FB3EE2" w:rsidRPr="00FE64BC" w:rsidRDefault="00FB3EE2" w:rsidP="00733C1C">
            <w:pPr>
              <w:pStyle w:val="TableText"/>
            </w:pPr>
          </w:p>
        </w:tc>
      </w:tr>
      <w:tr w:rsidR="00DB2892" w14:paraId="4836E2AD" w14:textId="77777777" w:rsidTr="00FE4A8B">
        <w:tc>
          <w:tcPr>
            <w:tcW w:w="4220" w:type="pct"/>
            <w:tcMar>
              <w:left w:w="108" w:type="dxa"/>
              <w:right w:w="108" w:type="dxa"/>
            </w:tcMar>
          </w:tcPr>
          <w:p w14:paraId="6CAC1AA2" w14:textId="5CCEC3E9" w:rsidR="00DB2892" w:rsidRPr="0003654C" w:rsidRDefault="00D40ABA" w:rsidP="0003654C">
            <w:pPr>
              <w:pStyle w:val="ListBullet"/>
            </w:pPr>
            <w:r w:rsidRPr="00D40ABA">
              <w:t>Expected timeframes (</w:t>
            </w:r>
            <w:r>
              <w:t xml:space="preserve">i.e. </w:t>
            </w:r>
            <w:r w:rsidRPr="00D40ABA">
              <w:t>commencement</w:t>
            </w:r>
            <w:r>
              <w:t xml:space="preserve"> and </w:t>
            </w:r>
            <w:r w:rsidRPr="00D40ABA">
              <w:t>completion).</w:t>
            </w:r>
          </w:p>
        </w:tc>
        <w:tc>
          <w:tcPr>
            <w:tcW w:w="780" w:type="pct"/>
            <w:tcMar>
              <w:left w:w="108" w:type="dxa"/>
              <w:right w:w="108" w:type="dxa"/>
            </w:tcMar>
          </w:tcPr>
          <w:p w14:paraId="2186B768" w14:textId="77777777" w:rsidR="00DB2892" w:rsidRPr="00FE64BC" w:rsidRDefault="00DB2892" w:rsidP="00733C1C">
            <w:pPr>
              <w:pStyle w:val="TableText"/>
            </w:pPr>
          </w:p>
        </w:tc>
      </w:tr>
      <w:tr w:rsidR="00D40ABA" w14:paraId="4659162D" w14:textId="77777777" w:rsidTr="00FE4A8B">
        <w:tc>
          <w:tcPr>
            <w:tcW w:w="4220" w:type="pct"/>
            <w:tcMar>
              <w:left w:w="108" w:type="dxa"/>
              <w:right w:w="108" w:type="dxa"/>
            </w:tcMar>
          </w:tcPr>
          <w:p w14:paraId="6B6D06E3" w14:textId="1D8E9731" w:rsidR="00D40ABA" w:rsidRPr="00114C69" w:rsidRDefault="00114C69" w:rsidP="00114C69">
            <w:pPr>
              <w:pStyle w:val="TableText"/>
              <w:spacing w:before="120" w:after="120"/>
              <w:rPr>
                <w:rStyle w:val="Strong"/>
              </w:rPr>
            </w:pPr>
            <w:r>
              <w:rPr>
                <w:rStyle w:val="Strong"/>
              </w:rPr>
              <w:t>EPBC Act Information and decision-making process</w:t>
            </w:r>
          </w:p>
        </w:tc>
        <w:tc>
          <w:tcPr>
            <w:tcW w:w="780" w:type="pct"/>
            <w:tcMar>
              <w:left w:w="108" w:type="dxa"/>
              <w:right w:w="108" w:type="dxa"/>
            </w:tcMar>
          </w:tcPr>
          <w:p w14:paraId="50AE35F7" w14:textId="77777777" w:rsidR="00D40ABA" w:rsidRPr="00FE64BC" w:rsidRDefault="00D40ABA" w:rsidP="00114C69">
            <w:pPr>
              <w:pStyle w:val="TableText"/>
              <w:spacing w:before="120" w:after="120"/>
            </w:pPr>
          </w:p>
        </w:tc>
      </w:tr>
      <w:tr w:rsidR="00114C69" w14:paraId="607016EE" w14:textId="77777777" w:rsidTr="00FE4A8B">
        <w:tc>
          <w:tcPr>
            <w:tcW w:w="4220" w:type="pct"/>
            <w:tcMar>
              <w:left w:w="108" w:type="dxa"/>
              <w:right w:w="108" w:type="dxa"/>
            </w:tcMar>
          </w:tcPr>
          <w:p w14:paraId="64DE2F90" w14:textId="1EC95D82" w:rsidR="00114C69" w:rsidRPr="00114C69" w:rsidRDefault="004A3225" w:rsidP="00114C69">
            <w:pPr>
              <w:pStyle w:val="ListBullet"/>
            </w:pPr>
            <w:r w:rsidRPr="004A3225">
              <w:t>Discuss EPBC Act assessment process including legislative timeframes and expectations.</w:t>
            </w:r>
          </w:p>
        </w:tc>
        <w:tc>
          <w:tcPr>
            <w:tcW w:w="780" w:type="pct"/>
            <w:tcMar>
              <w:left w:w="108" w:type="dxa"/>
              <w:right w:w="108" w:type="dxa"/>
            </w:tcMar>
          </w:tcPr>
          <w:p w14:paraId="3AD38A5E" w14:textId="77777777" w:rsidR="00114C69" w:rsidRPr="00FE64BC" w:rsidRDefault="00114C69" w:rsidP="00114C69">
            <w:pPr>
              <w:pStyle w:val="TableText"/>
              <w:spacing w:before="120" w:after="120"/>
            </w:pPr>
          </w:p>
        </w:tc>
      </w:tr>
      <w:tr w:rsidR="004A3225" w14:paraId="21AE12C9" w14:textId="77777777" w:rsidTr="00FE4A8B">
        <w:tc>
          <w:tcPr>
            <w:tcW w:w="4220" w:type="pct"/>
            <w:tcMar>
              <w:left w:w="108" w:type="dxa"/>
              <w:right w:w="108" w:type="dxa"/>
            </w:tcMar>
          </w:tcPr>
          <w:p w14:paraId="6F0C1ED4" w14:textId="6DBAFDD4" w:rsidR="004A3225" w:rsidRPr="004A3225" w:rsidRDefault="000F6E3D" w:rsidP="000F6E3D">
            <w:pPr>
              <w:pStyle w:val="ListBullet"/>
            </w:pPr>
            <w:r w:rsidRPr="000F6E3D">
              <w:t>Discuss cost recovery requirements.</w:t>
            </w:r>
          </w:p>
        </w:tc>
        <w:tc>
          <w:tcPr>
            <w:tcW w:w="780" w:type="pct"/>
            <w:tcMar>
              <w:left w:w="108" w:type="dxa"/>
              <w:right w:w="108" w:type="dxa"/>
            </w:tcMar>
          </w:tcPr>
          <w:p w14:paraId="3F079A0F" w14:textId="77777777" w:rsidR="004A3225" w:rsidRPr="00FE64BC" w:rsidRDefault="004A3225" w:rsidP="00114C69">
            <w:pPr>
              <w:pStyle w:val="TableText"/>
              <w:spacing w:before="120" w:after="120"/>
            </w:pPr>
          </w:p>
        </w:tc>
      </w:tr>
      <w:tr w:rsidR="000F6E3D" w14:paraId="3939E5DB" w14:textId="77777777" w:rsidTr="00FE4A8B">
        <w:tc>
          <w:tcPr>
            <w:tcW w:w="4220" w:type="pct"/>
            <w:tcMar>
              <w:left w:w="108" w:type="dxa"/>
              <w:right w:w="108" w:type="dxa"/>
            </w:tcMar>
          </w:tcPr>
          <w:p w14:paraId="4232CDF3" w14:textId="033EAD65" w:rsidR="000F6E3D" w:rsidRPr="000F6E3D" w:rsidRDefault="00F078C8" w:rsidP="000F6E3D">
            <w:pPr>
              <w:pStyle w:val="ListBullet"/>
            </w:pPr>
            <w:r w:rsidRPr="00F078C8">
              <w:t>Detail state</w:t>
            </w:r>
            <w:r>
              <w:t xml:space="preserve"> or </w:t>
            </w:r>
            <w:r w:rsidRPr="00F078C8">
              <w:t>territory bilateral process being undertaken and discuss Commonwealth assessment alignment considerations, if applicable, including Client Service Charter.</w:t>
            </w:r>
          </w:p>
        </w:tc>
        <w:tc>
          <w:tcPr>
            <w:tcW w:w="780" w:type="pct"/>
            <w:tcMar>
              <w:left w:w="108" w:type="dxa"/>
              <w:right w:w="108" w:type="dxa"/>
            </w:tcMar>
          </w:tcPr>
          <w:p w14:paraId="3213B600" w14:textId="77777777" w:rsidR="000F6E3D" w:rsidRPr="00FE64BC" w:rsidRDefault="000F6E3D" w:rsidP="00114C69">
            <w:pPr>
              <w:pStyle w:val="TableText"/>
              <w:spacing w:before="120" w:after="120"/>
            </w:pPr>
          </w:p>
        </w:tc>
      </w:tr>
      <w:tr w:rsidR="00F078C8" w14:paraId="3DE63EEE" w14:textId="77777777" w:rsidTr="009B680F">
        <w:tc>
          <w:tcPr>
            <w:tcW w:w="4220" w:type="pct"/>
            <w:tcMar>
              <w:left w:w="108" w:type="dxa"/>
              <w:right w:w="108" w:type="dxa"/>
            </w:tcMar>
          </w:tcPr>
          <w:p w14:paraId="4D353262" w14:textId="6E6D9B6B" w:rsidR="00F078C8" w:rsidRPr="00114C69" w:rsidRDefault="00F078C8" w:rsidP="009B680F">
            <w:pPr>
              <w:pStyle w:val="TableText"/>
              <w:spacing w:before="120" w:after="120"/>
              <w:rPr>
                <w:rStyle w:val="Strong"/>
              </w:rPr>
            </w:pPr>
            <w:r>
              <w:rPr>
                <w:rStyle w:val="Strong"/>
              </w:rPr>
              <w:t>Next steps – email follow-up to capture outcomes of meeting</w:t>
            </w:r>
          </w:p>
        </w:tc>
        <w:tc>
          <w:tcPr>
            <w:tcW w:w="780" w:type="pct"/>
            <w:tcMar>
              <w:left w:w="108" w:type="dxa"/>
              <w:right w:w="108" w:type="dxa"/>
            </w:tcMar>
          </w:tcPr>
          <w:p w14:paraId="0CDAB88A" w14:textId="77777777" w:rsidR="00F078C8" w:rsidRPr="00FE64BC" w:rsidRDefault="00F078C8" w:rsidP="009B680F">
            <w:pPr>
              <w:pStyle w:val="TableText"/>
              <w:spacing w:before="120" w:after="120"/>
            </w:pPr>
          </w:p>
        </w:tc>
      </w:tr>
      <w:tr w:rsidR="00F078C8" w14:paraId="2F2307FE" w14:textId="77777777" w:rsidTr="00FE4A8B">
        <w:tc>
          <w:tcPr>
            <w:tcW w:w="4220" w:type="pct"/>
            <w:tcMar>
              <w:left w:w="108" w:type="dxa"/>
              <w:right w:w="108" w:type="dxa"/>
            </w:tcMar>
          </w:tcPr>
          <w:p w14:paraId="49EB1652" w14:textId="168EB6D0" w:rsidR="00F078C8" w:rsidRPr="00F078C8" w:rsidRDefault="00E8180C" w:rsidP="000F6E3D">
            <w:pPr>
              <w:pStyle w:val="ListBullet"/>
            </w:pPr>
            <w:r w:rsidRPr="00E8180C">
              <w:t>Department officer to email proponent</w:t>
            </w:r>
            <w:r>
              <w:t xml:space="preserve"> or </w:t>
            </w:r>
            <w:r w:rsidRPr="00E8180C">
              <w:t>consultant outlining the key messages discussed in the meeting including any outstanding issues or suggested additional information that may be included in your formal referral.</w:t>
            </w:r>
          </w:p>
        </w:tc>
        <w:tc>
          <w:tcPr>
            <w:tcW w:w="780" w:type="pct"/>
            <w:tcMar>
              <w:left w:w="108" w:type="dxa"/>
              <w:right w:w="108" w:type="dxa"/>
            </w:tcMar>
          </w:tcPr>
          <w:p w14:paraId="5AC4133E" w14:textId="77777777" w:rsidR="00F078C8" w:rsidRPr="00FE64BC" w:rsidRDefault="00F078C8" w:rsidP="00114C69">
            <w:pPr>
              <w:pStyle w:val="TableText"/>
              <w:spacing w:before="120" w:after="120"/>
            </w:pPr>
          </w:p>
        </w:tc>
      </w:tr>
    </w:tbl>
    <w:p w14:paraId="1EC5B505" w14:textId="4F68E8CF" w:rsidR="00BD31AB" w:rsidRDefault="00E8180C" w:rsidP="00BF7809">
      <w:pPr>
        <w:pStyle w:val="Heading3"/>
      </w:pPr>
      <w:r>
        <w:t>Caveat</w:t>
      </w:r>
    </w:p>
    <w:p w14:paraId="5E585F9D" w14:textId="22515A6A" w:rsidR="00FE4A8B" w:rsidRPr="00470D4E" w:rsidRDefault="00CB47CF" w:rsidP="0048658C">
      <w:r w:rsidRPr="00CB47CF">
        <w:t xml:space="preserve">The department cannot give any assurance on a proposed action until it has been referred under the </w:t>
      </w:r>
      <w:r w:rsidRPr="00CB47CF">
        <w:rPr>
          <w:rStyle w:val="Emphasis"/>
        </w:rPr>
        <w:t>Environment Protection and Biodiversity Conservation Act 1999</w:t>
      </w:r>
      <w:r w:rsidRPr="00CB47CF">
        <w:t xml:space="preserve"> (EPBC Act). Once the formal referral is received and the cost recovery fee is paid, the Minister</w:t>
      </w:r>
      <w:r w:rsidR="008A0A29">
        <w:t xml:space="preserve"> for the Environment and Water</w:t>
      </w:r>
      <w:r w:rsidRPr="00CB47CF">
        <w:t xml:space="preserve"> (or delegate) will consider whether the proposed action is a ‘controlled action’ and thus requires assessment and approval under the EPBC</w:t>
      </w:r>
      <w:r>
        <w:t> </w:t>
      </w:r>
      <w:r w:rsidRPr="00CB47CF">
        <w:t>Act. Further information may be requested by the department for the purposes of making that decision, as well as deciding on the appropriate assessment approach for the action.</w:t>
      </w:r>
    </w:p>
    <w:sectPr w:rsidR="00FE4A8B" w:rsidRPr="00470D4E" w:rsidSect="00C60882">
      <w:headerReference w:type="default" r:id="rId11"/>
      <w:footerReference w:type="default" r:id="rId12"/>
      <w:headerReference w:type="first" r:id="rId13"/>
      <w:footerReference w:type="first" r:id="rId14"/>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956B" w14:textId="77777777" w:rsidR="00162ED5" w:rsidRDefault="00162ED5">
      <w:r>
        <w:separator/>
      </w:r>
    </w:p>
    <w:p w14:paraId="796AF10D" w14:textId="77777777" w:rsidR="00162ED5" w:rsidRDefault="00162ED5"/>
    <w:p w14:paraId="16AE6EFE" w14:textId="77777777" w:rsidR="00162ED5" w:rsidRDefault="00162ED5"/>
  </w:endnote>
  <w:endnote w:type="continuationSeparator" w:id="0">
    <w:p w14:paraId="31F55B8A" w14:textId="77777777" w:rsidR="00162ED5" w:rsidRDefault="00162ED5">
      <w:r>
        <w:continuationSeparator/>
      </w:r>
    </w:p>
    <w:p w14:paraId="2CC57F4C" w14:textId="77777777" w:rsidR="00162ED5" w:rsidRDefault="00162ED5"/>
    <w:p w14:paraId="2FB148FF" w14:textId="77777777" w:rsidR="00162ED5" w:rsidRDefault="00162ED5"/>
  </w:endnote>
  <w:endnote w:type="continuationNotice" w:id="1">
    <w:p w14:paraId="1D03B664" w14:textId="77777777" w:rsidR="00162ED5" w:rsidRDefault="00162ED5">
      <w:pPr>
        <w:pStyle w:val="Footer"/>
      </w:pPr>
    </w:p>
    <w:p w14:paraId="3278E662" w14:textId="77777777" w:rsidR="00162ED5" w:rsidRDefault="00162ED5"/>
    <w:p w14:paraId="632AFF16" w14:textId="77777777" w:rsidR="00162ED5" w:rsidRDefault="00162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0C4" w14:textId="77777777" w:rsidR="005A1BB2" w:rsidRPr="00AE399D" w:rsidRDefault="005A1BB2" w:rsidP="005A1BB2">
    <w:pPr>
      <w:pStyle w:val="Footer"/>
      <w:framePr w:wrap="around" w:vAnchor="text" w:hAnchor="page" w:x="10286" w:y="-21"/>
      <w:rPr>
        <w:rStyle w:val="PageNumber"/>
        <w:szCs w:val="20"/>
      </w:rPr>
    </w:pPr>
    <w:r w:rsidRPr="00AE399D">
      <w:rPr>
        <w:rStyle w:val="PageNumber"/>
        <w:szCs w:val="20"/>
      </w:rPr>
      <w:fldChar w:fldCharType="begin"/>
    </w:r>
    <w:r w:rsidRPr="00AE399D">
      <w:rPr>
        <w:rStyle w:val="PageNumber"/>
        <w:szCs w:val="20"/>
      </w:rPr>
      <w:instrText xml:space="preserve">PAGE  </w:instrText>
    </w:r>
    <w:r w:rsidRPr="00AE399D">
      <w:rPr>
        <w:rStyle w:val="PageNumber"/>
        <w:szCs w:val="20"/>
      </w:rPr>
      <w:fldChar w:fldCharType="separate"/>
    </w:r>
    <w:r>
      <w:rPr>
        <w:rStyle w:val="PageNumber"/>
        <w:szCs w:val="20"/>
      </w:rPr>
      <w:t>1</w:t>
    </w:r>
    <w:r w:rsidRPr="00AE399D">
      <w:rPr>
        <w:rStyle w:val="PageNumber"/>
        <w:szCs w:val="20"/>
      </w:rPr>
      <w:fldChar w:fldCharType="end"/>
    </w:r>
  </w:p>
  <w:p w14:paraId="18FCFCA6" w14:textId="1AAF61E2" w:rsidR="00470D4E" w:rsidRPr="005A7936" w:rsidRDefault="005A1BB2" w:rsidP="001F0574">
    <w:pPr>
      <w:pStyle w:val="Footer"/>
    </w:pPr>
    <w:r w:rsidRPr="00D86640">
      <w:t>Department of Climate Change, Energy, the Environment and Water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A562" w14:textId="77777777" w:rsidR="005A1BB2" w:rsidRPr="00BE168A" w:rsidRDefault="005A1BB2" w:rsidP="005A1BB2">
    <w:pPr>
      <w:pStyle w:val="Footer"/>
    </w:pPr>
    <w:r w:rsidRPr="00BE168A">
      <w:t>DCCEEW.gov.au</w:t>
    </w:r>
  </w:p>
  <w:p w14:paraId="12999C50" w14:textId="77777777" w:rsidR="005A1BB2" w:rsidRPr="00AE399D" w:rsidRDefault="005A1BB2" w:rsidP="005A1BB2">
    <w:pPr>
      <w:pStyle w:val="Footer"/>
      <w:framePr w:wrap="around" w:vAnchor="text" w:hAnchor="page" w:x="10381" w:y="17"/>
      <w:rPr>
        <w:rStyle w:val="PageNumber"/>
        <w:szCs w:val="20"/>
      </w:rPr>
    </w:pPr>
    <w:r w:rsidRPr="00AE399D">
      <w:rPr>
        <w:rStyle w:val="PageNumber"/>
        <w:szCs w:val="20"/>
      </w:rPr>
      <w:fldChar w:fldCharType="begin"/>
    </w:r>
    <w:r w:rsidRPr="00AE399D">
      <w:rPr>
        <w:rStyle w:val="PageNumber"/>
        <w:szCs w:val="20"/>
      </w:rPr>
      <w:instrText xml:space="preserve">PAGE  </w:instrText>
    </w:r>
    <w:r w:rsidRPr="00AE399D">
      <w:rPr>
        <w:rStyle w:val="PageNumber"/>
        <w:szCs w:val="20"/>
      </w:rPr>
      <w:fldChar w:fldCharType="separate"/>
    </w:r>
    <w:r>
      <w:rPr>
        <w:rStyle w:val="PageNumber"/>
        <w:szCs w:val="20"/>
      </w:rPr>
      <w:t>2</w:t>
    </w:r>
    <w:r w:rsidRPr="00AE399D">
      <w:rPr>
        <w:rStyle w:val="PageNumber"/>
        <w:szCs w:val="20"/>
      </w:rPr>
      <w:fldChar w:fldCharType="end"/>
    </w:r>
  </w:p>
  <w:p w14:paraId="2A0E5845" w14:textId="77777777" w:rsidR="005A1BB2" w:rsidRPr="00BE168A" w:rsidRDefault="005A1BB2" w:rsidP="005A1BB2">
    <w:pPr>
      <w:pStyle w:val="Footer"/>
    </w:pPr>
    <w:r w:rsidRPr="00BE168A">
      <w:t>John Gorton Building - King Edward Terrace, Parkes ACT 2600 Australia</w:t>
    </w:r>
  </w:p>
  <w:p w14:paraId="073173A8" w14:textId="3890BE68" w:rsidR="0058008E" w:rsidRDefault="005A1BB2" w:rsidP="001F0574">
    <w:pPr>
      <w:pStyle w:val="Footer"/>
    </w:pPr>
    <w:r w:rsidRPr="00BE168A">
      <w:t>GPO Box 3090 Canberra ACT 2601 ABN: 63 573 932 849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700D" w14:textId="77777777" w:rsidR="00162ED5" w:rsidRDefault="00162ED5">
      <w:r>
        <w:separator/>
      </w:r>
    </w:p>
    <w:p w14:paraId="58A08960" w14:textId="77777777" w:rsidR="00162ED5" w:rsidRDefault="00162ED5"/>
    <w:p w14:paraId="21C2FBDF" w14:textId="77777777" w:rsidR="00162ED5" w:rsidRDefault="00162ED5"/>
  </w:footnote>
  <w:footnote w:type="continuationSeparator" w:id="0">
    <w:p w14:paraId="1149BD17" w14:textId="77777777" w:rsidR="00162ED5" w:rsidRDefault="00162ED5">
      <w:r>
        <w:continuationSeparator/>
      </w:r>
    </w:p>
    <w:p w14:paraId="54E7CC5C" w14:textId="77777777" w:rsidR="00162ED5" w:rsidRDefault="00162ED5"/>
    <w:p w14:paraId="5B97B751" w14:textId="77777777" w:rsidR="00162ED5" w:rsidRDefault="00162ED5"/>
  </w:footnote>
  <w:footnote w:type="continuationNotice" w:id="1">
    <w:p w14:paraId="21035712" w14:textId="77777777" w:rsidR="00162ED5" w:rsidRDefault="00162ED5">
      <w:pPr>
        <w:pStyle w:val="Footer"/>
      </w:pPr>
    </w:p>
    <w:p w14:paraId="18301A6B" w14:textId="77777777" w:rsidR="00162ED5" w:rsidRDefault="00162ED5"/>
    <w:p w14:paraId="08723C4A" w14:textId="77777777" w:rsidR="00162ED5" w:rsidRDefault="00162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F91C0" w14:textId="7DD275E6" w:rsidR="00470D4E" w:rsidRPr="001F0574" w:rsidRDefault="00470D4E" w:rsidP="001F057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EC91" w14:textId="5D6242D8" w:rsidR="00B861B4" w:rsidRDefault="00D60B6F">
    <w:pPr>
      <w:pStyle w:val="Header"/>
      <w:jc w:val="left"/>
    </w:pPr>
    <w:r>
      <w:rPr>
        <w:noProof/>
        <w:lang w:val="en-US"/>
      </w:rPr>
      <w:drawing>
        <wp:inline distT="0" distB="0" distL="0" distR="0" wp14:anchorId="188B7E25" wp14:editId="4DB4B3CF">
          <wp:extent cx="3224791" cy="676657"/>
          <wp:effectExtent l="0" t="0" r="0" b="9525"/>
          <wp:docPr id="1" name="Picture 1" descr="Department of Climate Change, Energy, the Environmen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epartment of Climate Change, Energy, the Environment and Water"/>
                  <pic:cNvPicPr/>
                </pic:nvPicPr>
                <pic:blipFill>
                  <a:blip r:embed="rId1">
                    <a:extLst>
                      <a:ext uri="{28A0092B-C50C-407E-A947-70E740481C1C}">
                        <a14:useLocalDpi xmlns:a14="http://schemas.microsoft.com/office/drawing/2010/main" val="0"/>
                      </a:ext>
                    </a:extLst>
                  </a:blip>
                  <a:stretch>
                    <a:fillRect/>
                  </a:stretch>
                </pic:blipFill>
                <pic:spPr>
                  <a:xfrm>
                    <a:off x="0" y="0"/>
                    <a:ext cx="3224791" cy="6766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5643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E6D51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8448C7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17A0DF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0D896ABB"/>
    <w:multiLevelType w:val="hybridMultilevel"/>
    <w:tmpl w:val="C39CC6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2F8362B7"/>
    <w:multiLevelType w:val="hybridMultilevel"/>
    <w:tmpl w:val="813EA4E2"/>
    <w:lvl w:ilvl="0" w:tplc="13FE7B08">
      <w:start w:val="1"/>
      <w:numFmt w:val="decimal"/>
      <w:pStyle w:val="Normalnumbered"/>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94A15FE"/>
    <w:multiLevelType w:val="multilevel"/>
    <w:tmpl w:val="F36C17E8"/>
    <w:numStyleLink w:val="Headinglist"/>
  </w:abstractNum>
  <w:abstractNum w:abstractNumId="17" w15:restartNumberingAfterBreak="0">
    <w:nsid w:val="414F4729"/>
    <w:multiLevelType w:val="multilevel"/>
    <w:tmpl w:val="A0241B28"/>
    <w:numStyleLink w:val="List1"/>
  </w:abstractNum>
  <w:abstractNum w:abstractNumId="18" w15:restartNumberingAfterBreak="0">
    <w:nsid w:val="486800B4"/>
    <w:multiLevelType w:val="multilevel"/>
    <w:tmpl w:val="A0241B28"/>
    <w:numStyleLink w:val="List1"/>
  </w:abstractNum>
  <w:abstractNum w:abstractNumId="19"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0" w15:restartNumberingAfterBreak="0">
    <w:nsid w:val="496159DC"/>
    <w:multiLevelType w:val="multilevel"/>
    <w:tmpl w:val="BE78A4F8"/>
    <w:numStyleLink w:val="Numberlist"/>
  </w:abstractNum>
  <w:abstractNum w:abstractNumId="2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3"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5"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6"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B21F21"/>
    <w:multiLevelType w:val="hybridMultilevel"/>
    <w:tmpl w:val="C3900A70"/>
    <w:lvl w:ilvl="0" w:tplc="B672E70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8C10A1"/>
    <w:multiLevelType w:val="multilevel"/>
    <w:tmpl w:val="BE78A4F8"/>
    <w:numStyleLink w:val="Numberlist"/>
  </w:abstractNum>
  <w:abstractNum w:abstractNumId="29" w15:restartNumberingAfterBreak="0">
    <w:nsid w:val="733934B7"/>
    <w:multiLevelType w:val="multilevel"/>
    <w:tmpl w:val="A0241B28"/>
    <w:numStyleLink w:val="List1"/>
  </w:abstractNum>
  <w:num w:numId="1" w16cid:durableId="2071880264">
    <w:abstractNumId w:val="6"/>
  </w:num>
  <w:num w:numId="2" w16cid:durableId="1673799208">
    <w:abstractNumId w:val="18"/>
  </w:num>
  <w:num w:numId="3" w16cid:durableId="1404451164">
    <w:abstractNumId w:val="19"/>
  </w:num>
  <w:num w:numId="4" w16cid:durableId="1666787524">
    <w:abstractNumId w:val="10"/>
  </w:num>
  <w:num w:numId="5" w16cid:durableId="381057155">
    <w:abstractNumId w:val="24"/>
  </w:num>
  <w:num w:numId="6" w16cid:durableId="1639215797">
    <w:abstractNumId w:val="25"/>
  </w:num>
  <w:num w:numId="7" w16cid:durableId="8609022">
    <w:abstractNumId w:val="7"/>
  </w:num>
  <w:num w:numId="8" w16cid:durableId="1643265712">
    <w:abstractNumId w:val="13"/>
  </w:num>
  <w:num w:numId="9" w16cid:durableId="793717093">
    <w:abstractNumId w:val="16"/>
    <w:lvlOverride w:ilvl="0">
      <w:lvl w:ilvl="0">
        <w:start w:val="1"/>
        <w:numFmt w:val="decimal"/>
        <w:lvlText w:val="%1"/>
        <w:lvlJc w:val="left"/>
        <w:pPr>
          <w:ind w:left="720" w:hanging="720"/>
        </w:pPr>
      </w:lvl>
    </w:lvlOverride>
  </w:num>
  <w:num w:numId="10" w16cid:durableId="1642540004">
    <w:abstractNumId w:val="7"/>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62813">
    <w:abstractNumId w:val="5"/>
  </w:num>
  <w:num w:numId="12" w16cid:durableId="1466848734">
    <w:abstractNumId w:val="4"/>
  </w:num>
  <w:num w:numId="13" w16cid:durableId="297998804">
    <w:abstractNumId w:val="3"/>
  </w:num>
  <w:num w:numId="14" w16cid:durableId="369259423">
    <w:abstractNumId w:val="2"/>
  </w:num>
  <w:num w:numId="15" w16cid:durableId="1457260623">
    <w:abstractNumId w:val="11"/>
  </w:num>
  <w:num w:numId="16" w16cid:durableId="1314063411">
    <w:abstractNumId w:val="22"/>
  </w:num>
  <w:num w:numId="17" w16cid:durableId="4592994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1610074">
    <w:abstractNumId w:val="26"/>
  </w:num>
  <w:num w:numId="19" w16cid:durableId="2052537745">
    <w:abstractNumId w:val="1"/>
  </w:num>
  <w:num w:numId="20" w16cid:durableId="1609198961">
    <w:abstractNumId w:val="0"/>
  </w:num>
  <w:num w:numId="21" w16cid:durableId="1217014302">
    <w:abstractNumId w:val="14"/>
  </w:num>
  <w:num w:numId="22" w16cid:durableId="1652558498">
    <w:abstractNumId w:val="20"/>
  </w:num>
  <w:num w:numId="23" w16cid:durableId="780877881">
    <w:abstractNumId w:val="28"/>
  </w:num>
  <w:num w:numId="24" w16cid:durableId="9570234">
    <w:abstractNumId w:val="12"/>
  </w:num>
  <w:num w:numId="25" w16cid:durableId="1084184664">
    <w:abstractNumId w:val="17"/>
  </w:num>
  <w:num w:numId="26" w16cid:durableId="156895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5498190">
    <w:abstractNumId w:val="29"/>
  </w:num>
  <w:num w:numId="28" w16cid:durableId="626202022">
    <w:abstractNumId w:val="21"/>
  </w:num>
  <w:num w:numId="29" w16cid:durableId="281765065">
    <w:abstractNumId w:val="23"/>
  </w:num>
  <w:num w:numId="30" w16cid:durableId="866915021">
    <w:abstractNumId w:val="9"/>
  </w:num>
  <w:num w:numId="31" w16cid:durableId="742336246">
    <w:abstractNumId w:val="8"/>
  </w:num>
  <w:num w:numId="32" w16cid:durableId="652638494">
    <w:abstractNumId w:val="8"/>
  </w:num>
  <w:num w:numId="33" w16cid:durableId="1878157874">
    <w:abstractNumId w:val="27"/>
  </w:num>
  <w:num w:numId="34" w16cid:durableId="85114236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AD"/>
    <w:rsid w:val="00006182"/>
    <w:rsid w:val="0003654C"/>
    <w:rsid w:val="0004499E"/>
    <w:rsid w:val="000869AB"/>
    <w:rsid w:val="00097FA8"/>
    <w:rsid w:val="000A7AAF"/>
    <w:rsid w:val="000D675E"/>
    <w:rsid w:val="000E2512"/>
    <w:rsid w:val="000F2194"/>
    <w:rsid w:val="000F4B00"/>
    <w:rsid w:val="000F6E3D"/>
    <w:rsid w:val="00107522"/>
    <w:rsid w:val="00114C69"/>
    <w:rsid w:val="00117BAD"/>
    <w:rsid w:val="001202E0"/>
    <w:rsid w:val="00123033"/>
    <w:rsid w:val="00162ED5"/>
    <w:rsid w:val="00176594"/>
    <w:rsid w:val="0017699C"/>
    <w:rsid w:val="001A4D24"/>
    <w:rsid w:val="001F0574"/>
    <w:rsid w:val="00201F73"/>
    <w:rsid w:val="00222137"/>
    <w:rsid w:val="002310CE"/>
    <w:rsid w:val="00257886"/>
    <w:rsid w:val="00271134"/>
    <w:rsid w:val="00281BB6"/>
    <w:rsid w:val="00284C5A"/>
    <w:rsid w:val="00284D14"/>
    <w:rsid w:val="00286307"/>
    <w:rsid w:val="002D5B0A"/>
    <w:rsid w:val="002D6D4A"/>
    <w:rsid w:val="002F3541"/>
    <w:rsid w:val="003024BD"/>
    <w:rsid w:val="003214B3"/>
    <w:rsid w:val="00324BD0"/>
    <w:rsid w:val="00324F8D"/>
    <w:rsid w:val="00341111"/>
    <w:rsid w:val="0035065E"/>
    <w:rsid w:val="003537AD"/>
    <w:rsid w:val="0035560B"/>
    <w:rsid w:val="00360845"/>
    <w:rsid w:val="00364A4A"/>
    <w:rsid w:val="003B51AC"/>
    <w:rsid w:val="003D34F8"/>
    <w:rsid w:val="003F2079"/>
    <w:rsid w:val="004018E1"/>
    <w:rsid w:val="004021FF"/>
    <w:rsid w:val="00410B27"/>
    <w:rsid w:val="004119A5"/>
    <w:rsid w:val="00425079"/>
    <w:rsid w:val="00461957"/>
    <w:rsid w:val="00470D4E"/>
    <w:rsid w:val="0048658C"/>
    <w:rsid w:val="00490102"/>
    <w:rsid w:val="00491E5F"/>
    <w:rsid w:val="004A3225"/>
    <w:rsid w:val="004B1D54"/>
    <w:rsid w:val="004B7BC4"/>
    <w:rsid w:val="004F6FB6"/>
    <w:rsid w:val="005043EB"/>
    <w:rsid w:val="00506830"/>
    <w:rsid w:val="00514AA1"/>
    <w:rsid w:val="00515367"/>
    <w:rsid w:val="00516517"/>
    <w:rsid w:val="00517A68"/>
    <w:rsid w:val="00527FEC"/>
    <w:rsid w:val="00550DAF"/>
    <w:rsid w:val="0057476A"/>
    <w:rsid w:val="0058008E"/>
    <w:rsid w:val="00594D56"/>
    <w:rsid w:val="005A1BB2"/>
    <w:rsid w:val="005A451B"/>
    <w:rsid w:val="005A7193"/>
    <w:rsid w:val="005A7936"/>
    <w:rsid w:val="005D3790"/>
    <w:rsid w:val="005E25BD"/>
    <w:rsid w:val="0060069E"/>
    <w:rsid w:val="00605724"/>
    <w:rsid w:val="006074C9"/>
    <w:rsid w:val="006138D1"/>
    <w:rsid w:val="00626DF6"/>
    <w:rsid w:val="00643C78"/>
    <w:rsid w:val="006440A9"/>
    <w:rsid w:val="00680970"/>
    <w:rsid w:val="006962D6"/>
    <w:rsid w:val="006B222A"/>
    <w:rsid w:val="006C16FF"/>
    <w:rsid w:val="006C261F"/>
    <w:rsid w:val="006C5145"/>
    <w:rsid w:val="006E1A49"/>
    <w:rsid w:val="006F065B"/>
    <w:rsid w:val="00733C1C"/>
    <w:rsid w:val="00735088"/>
    <w:rsid w:val="00761FCF"/>
    <w:rsid w:val="00764D6A"/>
    <w:rsid w:val="00770704"/>
    <w:rsid w:val="00773056"/>
    <w:rsid w:val="007A18CA"/>
    <w:rsid w:val="007A1C90"/>
    <w:rsid w:val="007A5D10"/>
    <w:rsid w:val="007C358A"/>
    <w:rsid w:val="007C7FAF"/>
    <w:rsid w:val="007F77F8"/>
    <w:rsid w:val="00820F04"/>
    <w:rsid w:val="00892CC1"/>
    <w:rsid w:val="008A0A29"/>
    <w:rsid w:val="008A0EE3"/>
    <w:rsid w:val="008D619B"/>
    <w:rsid w:val="008E2377"/>
    <w:rsid w:val="00923CC9"/>
    <w:rsid w:val="00934748"/>
    <w:rsid w:val="0093673C"/>
    <w:rsid w:val="00946A37"/>
    <w:rsid w:val="009D4A8A"/>
    <w:rsid w:val="009D5007"/>
    <w:rsid w:val="009D6B10"/>
    <w:rsid w:val="009E2823"/>
    <w:rsid w:val="00A32CE8"/>
    <w:rsid w:val="00A43133"/>
    <w:rsid w:val="00A532E4"/>
    <w:rsid w:val="00A53556"/>
    <w:rsid w:val="00A77AB0"/>
    <w:rsid w:val="00A80DA0"/>
    <w:rsid w:val="00A91307"/>
    <w:rsid w:val="00AB7911"/>
    <w:rsid w:val="00AC35F5"/>
    <w:rsid w:val="00AE3D22"/>
    <w:rsid w:val="00AE4237"/>
    <w:rsid w:val="00B02B9B"/>
    <w:rsid w:val="00B15F59"/>
    <w:rsid w:val="00B35745"/>
    <w:rsid w:val="00B5740E"/>
    <w:rsid w:val="00B84485"/>
    <w:rsid w:val="00B861B4"/>
    <w:rsid w:val="00B96003"/>
    <w:rsid w:val="00B97E61"/>
    <w:rsid w:val="00BB32D7"/>
    <w:rsid w:val="00BB4325"/>
    <w:rsid w:val="00BB52E2"/>
    <w:rsid w:val="00BC1616"/>
    <w:rsid w:val="00BC5907"/>
    <w:rsid w:val="00BD31AB"/>
    <w:rsid w:val="00BE168A"/>
    <w:rsid w:val="00BE561A"/>
    <w:rsid w:val="00BF4E55"/>
    <w:rsid w:val="00BF7809"/>
    <w:rsid w:val="00C003C5"/>
    <w:rsid w:val="00C02519"/>
    <w:rsid w:val="00C12ACE"/>
    <w:rsid w:val="00C33358"/>
    <w:rsid w:val="00C416EC"/>
    <w:rsid w:val="00C60882"/>
    <w:rsid w:val="00C60EAF"/>
    <w:rsid w:val="00C61B8A"/>
    <w:rsid w:val="00C65D26"/>
    <w:rsid w:val="00C85C62"/>
    <w:rsid w:val="00C9405C"/>
    <w:rsid w:val="00C9451C"/>
    <w:rsid w:val="00CB2439"/>
    <w:rsid w:val="00CB47CF"/>
    <w:rsid w:val="00CF4F5E"/>
    <w:rsid w:val="00D02702"/>
    <w:rsid w:val="00D04B82"/>
    <w:rsid w:val="00D07F7D"/>
    <w:rsid w:val="00D1032B"/>
    <w:rsid w:val="00D40ABA"/>
    <w:rsid w:val="00D47121"/>
    <w:rsid w:val="00D50BE3"/>
    <w:rsid w:val="00D51752"/>
    <w:rsid w:val="00D60B6F"/>
    <w:rsid w:val="00D65CD1"/>
    <w:rsid w:val="00D6626A"/>
    <w:rsid w:val="00D677A5"/>
    <w:rsid w:val="00D75730"/>
    <w:rsid w:val="00D86640"/>
    <w:rsid w:val="00DA2902"/>
    <w:rsid w:val="00DA71B8"/>
    <w:rsid w:val="00DB2892"/>
    <w:rsid w:val="00DE0AAE"/>
    <w:rsid w:val="00DE1D2F"/>
    <w:rsid w:val="00DF01A1"/>
    <w:rsid w:val="00DF5279"/>
    <w:rsid w:val="00DF7B8B"/>
    <w:rsid w:val="00E1174C"/>
    <w:rsid w:val="00E20810"/>
    <w:rsid w:val="00E36EF7"/>
    <w:rsid w:val="00E7512A"/>
    <w:rsid w:val="00E81103"/>
    <w:rsid w:val="00E8180C"/>
    <w:rsid w:val="00E91D72"/>
    <w:rsid w:val="00EC40D3"/>
    <w:rsid w:val="00EE4833"/>
    <w:rsid w:val="00EF55CC"/>
    <w:rsid w:val="00EF6546"/>
    <w:rsid w:val="00EF75FE"/>
    <w:rsid w:val="00F020A1"/>
    <w:rsid w:val="00F04729"/>
    <w:rsid w:val="00F078C8"/>
    <w:rsid w:val="00F079CF"/>
    <w:rsid w:val="00F109C5"/>
    <w:rsid w:val="00F20E41"/>
    <w:rsid w:val="00F3744A"/>
    <w:rsid w:val="00F448C4"/>
    <w:rsid w:val="00F603D0"/>
    <w:rsid w:val="00F73B4E"/>
    <w:rsid w:val="00F75899"/>
    <w:rsid w:val="00F82F27"/>
    <w:rsid w:val="00F87AD7"/>
    <w:rsid w:val="00F93A7C"/>
    <w:rsid w:val="00FA2743"/>
    <w:rsid w:val="00FB3EE2"/>
    <w:rsid w:val="00FC1759"/>
    <w:rsid w:val="00FE274C"/>
    <w:rsid w:val="00FE4A8B"/>
    <w:rsid w:val="00FE64BC"/>
    <w:rsid w:val="00FF47EC"/>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F255A"/>
  <w15:docId w15:val="{B09E0AEF-161C-4B58-A9E6-DDA3DDD1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1C"/>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C60882"/>
    <w:pPr>
      <w:widowControl w:val="0"/>
      <w:spacing w:before="360"/>
      <w:contextualSpacing/>
      <w:outlineLvl w:val="0"/>
    </w:pPr>
    <w:rPr>
      <w:rFonts w:ascii="Calibri" w:eastAsiaTheme="minorHAnsi" w:hAnsi="Calibri" w:cstheme="minorBidi"/>
      <w:b/>
      <w:bCs/>
      <w:spacing w:val="5"/>
      <w:kern w:val="28"/>
      <w:sz w:val="28"/>
      <w:szCs w:val="28"/>
      <w:lang w:eastAsia="en-US"/>
    </w:rPr>
  </w:style>
  <w:style w:type="paragraph" w:styleId="Heading2">
    <w:name w:val="heading 2"/>
    <w:basedOn w:val="Normal"/>
    <w:next w:val="Normal"/>
    <w:link w:val="Heading2Char"/>
    <w:uiPriority w:val="3"/>
    <w:rsid w:val="00BD31AB"/>
    <w:pPr>
      <w:spacing w:before="120" w:after="240" w:line="240" w:lineRule="auto"/>
      <w:outlineLvl w:val="1"/>
    </w:pPr>
    <w:rPr>
      <w:rFonts w:ascii="Calibri" w:eastAsiaTheme="minorEastAsia" w:hAnsi="Calibri"/>
      <w:b/>
      <w:bCs/>
      <w:sz w:val="24"/>
      <w:szCs w:val="28"/>
      <w:lang w:eastAsia="ja-JP"/>
    </w:rPr>
  </w:style>
  <w:style w:type="paragraph" w:styleId="Heading3">
    <w:name w:val="heading 3"/>
    <w:next w:val="Normal"/>
    <w:link w:val="Heading3Char"/>
    <w:uiPriority w:val="4"/>
    <w:qFormat/>
    <w:rsid w:val="00BF7809"/>
    <w:pPr>
      <w:keepNext/>
      <w:keepLines/>
      <w:spacing w:before="120" w:after="240"/>
      <w:outlineLvl w:val="2"/>
    </w:pPr>
    <w:rPr>
      <w:rFonts w:ascii="Calibri" w:eastAsia="Times New Roman" w:hAnsi="Calibri"/>
      <w:b/>
      <w:bCs/>
      <w:sz w:val="22"/>
      <w:szCs w:val="24"/>
      <w:lang w:eastAsia="en-US"/>
    </w:rPr>
  </w:style>
  <w:style w:type="paragraph" w:styleId="Heading4">
    <w:name w:val="heading 4"/>
    <w:next w:val="Normal"/>
    <w:link w:val="Heading4Char"/>
    <w:uiPriority w:val="5"/>
    <w:semiHidden/>
    <w:qFormat/>
    <w:pPr>
      <w:keepNext/>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semiHidden/>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rsid w:val="00BE168A"/>
    <w:pPr>
      <w:tabs>
        <w:tab w:val="center" w:pos="4536"/>
      </w:tabs>
      <w:spacing w:after="0" w:line="240" w:lineRule="auto"/>
    </w:pPr>
    <w:rPr>
      <w:rFonts w:ascii="Calibri" w:hAnsi="Calibri"/>
      <w:sz w:val="20"/>
    </w:rPr>
  </w:style>
  <w:style w:type="character" w:customStyle="1" w:styleId="FooterChar">
    <w:name w:val="Footer Char"/>
    <w:basedOn w:val="DefaultParagraphFont"/>
    <w:link w:val="Footer"/>
    <w:uiPriority w:val="99"/>
    <w:rsid w:val="00BE168A"/>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sid w:val="00C60882"/>
    <w:rPr>
      <w:rFonts w:ascii="Calibri" w:eastAsiaTheme="minorHAnsi" w:hAnsi="Calibri" w:cstheme="minorBidi"/>
      <w:b/>
      <w:bCs/>
      <w:spacing w:val="5"/>
      <w:kern w:val="28"/>
      <w:sz w:val="28"/>
      <w:szCs w:val="28"/>
      <w:lang w:eastAsia="en-US"/>
    </w:rPr>
  </w:style>
  <w:style w:type="character" w:customStyle="1" w:styleId="Heading2Char">
    <w:name w:val="Heading 2 Char"/>
    <w:basedOn w:val="DefaultParagraphFont"/>
    <w:link w:val="Heading2"/>
    <w:uiPriority w:val="3"/>
    <w:rsid w:val="00BD31AB"/>
    <w:rPr>
      <w:rFonts w:ascii="Calibri" w:eastAsiaTheme="minorEastAsia" w:hAnsi="Calibri" w:cstheme="minorBidi"/>
      <w:b/>
      <w:bCs/>
      <w:sz w:val="24"/>
      <w:szCs w:val="28"/>
      <w:lang w:eastAsia="ja-JP"/>
    </w:rPr>
  </w:style>
  <w:style w:type="character" w:customStyle="1" w:styleId="Heading3Char">
    <w:name w:val="Heading 3 Char"/>
    <w:basedOn w:val="DefaultParagraphFont"/>
    <w:link w:val="Heading3"/>
    <w:uiPriority w:val="4"/>
    <w:rsid w:val="00BF7809"/>
    <w:rPr>
      <w:rFonts w:ascii="Calibri" w:eastAsia="Times New Roman" w:hAnsi="Calibri"/>
      <w:b/>
      <w:bCs/>
      <w:sz w:val="22"/>
      <w:szCs w:val="24"/>
      <w:lang w:eastAsia="en-US"/>
    </w:rPr>
  </w:style>
  <w:style w:type="character" w:customStyle="1" w:styleId="Heading4Char">
    <w:name w:val="Heading 4 Char"/>
    <w:basedOn w:val="DefaultParagraphFont"/>
    <w:link w:val="Heading4"/>
    <w:uiPriority w:val="5"/>
    <w:semiHidden/>
    <w:rsid w:val="00B96003"/>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semiHidden/>
    <w:rsid w:val="00B96003"/>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rsid w:val="00123033"/>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C60882"/>
    <w:pPr>
      <w:keepNext/>
      <w:spacing w:after="120"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DF01A1"/>
    <w:pPr>
      <w:spacing w:before="120"/>
    </w:pPr>
    <w:rPr>
      <w:b w:val="0"/>
      <w:sz w:val="56"/>
      <w:szCs w:val="56"/>
    </w:rPr>
  </w:style>
  <w:style w:type="character" w:customStyle="1" w:styleId="SubtitleChar">
    <w:name w:val="Subtitle Char"/>
    <w:basedOn w:val="DefaultParagraphFont"/>
    <w:link w:val="Subtitle"/>
    <w:uiPriority w:val="23"/>
    <w:rsid w:val="00DF01A1"/>
    <w:rPr>
      <w:rFonts w:ascii="Calibri" w:eastAsiaTheme="minorHAnsi" w:hAnsi="Calibri" w:cstheme="minorBidi"/>
      <w:bCs/>
      <w:color w:val="083A42"/>
      <w:spacing w:val="5"/>
      <w:kern w:val="28"/>
      <w:sz w:val="56"/>
      <w:szCs w:val="56"/>
      <w:lang w:eastAsia="en-US"/>
    </w:rPr>
  </w:style>
  <w:style w:type="paragraph" w:styleId="TOCHeading">
    <w:name w:val="TOC Heading"/>
    <w:next w:val="Normal"/>
    <w:uiPriority w:val="39"/>
    <w:semiHidden/>
    <w:qFormat/>
    <w:rsid w:val="00527FEC"/>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semiHidden/>
    <w:qFormat/>
    <w:pPr>
      <w:tabs>
        <w:tab w:val="left" w:pos="426"/>
        <w:tab w:val="right" w:leader="dot" w:pos="9072"/>
      </w:tabs>
      <w:spacing w:before="120" w:after="120" w:line="240" w:lineRule="auto"/>
    </w:pPr>
    <w:rPr>
      <w:b/>
      <w:noProof/>
    </w:rPr>
  </w:style>
  <w:style w:type="paragraph" w:styleId="TOC2">
    <w:name w:val="toc 2"/>
    <w:basedOn w:val="Normal"/>
    <w:next w:val="Normal"/>
    <w:uiPriority w:val="39"/>
    <w:semiHidden/>
    <w:qFormat/>
    <w:pPr>
      <w:tabs>
        <w:tab w:val="right" w:leader="dot" w:pos="9060"/>
      </w:tabs>
      <w:spacing w:before="120" w:after="120" w:line="240" w:lineRule="auto"/>
      <w:ind w:firstLine="425"/>
    </w:pPr>
    <w:rPr>
      <w:noProof/>
    </w:rPr>
  </w:style>
  <w:style w:type="paragraph" w:styleId="TOC3">
    <w:name w:val="toc 3"/>
    <w:basedOn w:val="Normal"/>
    <w:next w:val="Normal"/>
    <w:uiPriority w:val="39"/>
    <w:semiHidden/>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rsid w:val="00123033"/>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rsid w:val="00123033"/>
    <w:pPr>
      <w:numPr>
        <w:ilvl w:val="1"/>
        <w:numId w:val="5"/>
      </w:numPr>
      <w:spacing w:before="120" w:after="120"/>
      <w:contextualSpacing/>
    </w:pPr>
  </w:style>
  <w:style w:type="paragraph" w:styleId="ListNumber">
    <w:name w:val="List Number"/>
    <w:basedOn w:val="Normal"/>
    <w:uiPriority w:val="9"/>
    <w:qFormat/>
    <w:rsid w:val="00123033"/>
    <w:pPr>
      <w:numPr>
        <w:numId w:val="24"/>
      </w:numPr>
      <w:tabs>
        <w:tab w:val="left" w:pos="142"/>
      </w:tabs>
      <w:spacing w:before="120" w:after="120"/>
    </w:pPr>
  </w:style>
  <w:style w:type="paragraph" w:styleId="ListNumber2">
    <w:name w:val="List Number 2"/>
    <w:uiPriority w:val="10"/>
    <w:qFormat/>
    <w:rsid w:val="00550DAF"/>
    <w:pPr>
      <w:numPr>
        <w:ilvl w:val="1"/>
        <w:numId w:val="24"/>
      </w:numPr>
      <w:tabs>
        <w:tab w:val="left" w:pos="567"/>
      </w:tabs>
      <w:spacing w:before="120" w:after="120" w:line="264" w:lineRule="auto"/>
      <w:ind w:left="879" w:hanging="425"/>
    </w:pPr>
    <w:rPr>
      <w:rFonts w:asciiTheme="minorHAnsi" w:eastAsia="Times New Roman" w:hAnsiTheme="minorHAnsi"/>
      <w:sz w:val="22"/>
      <w:szCs w:val="24"/>
      <w:lang w:eastAsia="en-US"/>
    </w:rPr>
  </w:style>
  <w:style w:type="paragraph" w:styleId="ListNumber3">
    <w:name w:val="List Number 3"/>
    <w:uiPriority w:val="11"/>
    <w:qFormat/>
    <w:rsid w:val="00123033"/>
    <w:pPr>
      <w:numPr>
        <w:ilvl w:val="2"/>
        <w:numId w:val="24"/>
      </w:numPr>
      <w:spacing w:before="120" w:after="120" w:line="264" w:lineRule="auto"/>
    </w:pPr>
    <w:rPr>
      <w:rFonts w:asciiTheme="minorHAnsi" w:eastAsia="Times New Roman" w:hAnsiTheme="minorHAnsi"/>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733C1C"/>
    <w:pPr>
      <w:spacing w:before="60" w:after="60" w:line="240" w:lineRule="auto"/>
    </w:p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733C1C"/>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rsid w:val="00123033"/>
    <w:pPr>
      <w:spacing w:after="60"/>
    </w:pPr>
    <w:rPr>
      <w:b/>
      <w:sz w:val="28"/>
      <w:szCs w:val="28"/>
    </w:rPr>
  </w:style>
  <w:style w:type="paragraph" w:customStyle="1" w:styleId="AuthorOrganisationAffiliation">
    <w:name w:val="Author Organisation/Affiliation"/>
    <w:basedOn w:val="Normal"/>
    <w:next w:val="Normal"/>
    <w:uiPriority w:val="25"/>
    <w:qFormat/>
    <w:rsid w:val="00123033"/>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123033"/>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rsid w:val="00123033"/>
    <w:pPr>
      <w:spacing w:line="240" w:lineRule="auto"/>
    </w:pPr>
    <w:rPr>
      <w:b/>
    </w:rPr>
  </w:style>
  <w:style w:type="paragraph" w:customStyle="1" w:styleId="Headersecurityclassification">
    <w:name w:val="Header security classification"/>
    <w:basedOn w:val="Header"/>
    <w:next w:val="Header"/>
    <w:uiPriority w:val="26"/>
    <w:qFormat/>
    <w:rsid w:val="000F4B00"/>
    <w:pPr>
      <w:spacing w:after="0"/>
    </w:pPr>
    <w:rPr>
      <w:b/>
      <w:color w:val="FF0000"/>
      <w:sz w:val="28"/>
      <w:szCs w:val="36"/>
    </w:rPr>
  </w:style>
  <w:style w:type="paragraph" w:customStyle="1" w:styleId="DisseminationLimitingMarker">
    <w:name w:val="Dissemination Limiting Marker"/>
    <w:basedOn w:val="Header"/>
    <w:next w:val="Header"/>
    <w:uiPriority w:val="27"/>
    <w:semiHidden/>
    <w:pPr>
      <w:spacing w:after="0"/>
    </w:pPr>
    <w:rPr>
      <w:b/>
      <w:sz w:val="36"/>
      <w:szCs w:val="36"/>
    </w:rPr>
  </w:style>
  <w:style w:type="paragraph" w:styleId="FootnoteText">
    <w:name w:val="footnote text"/>
    <w:basedOn w:val="Normal"/>
    <w:link w:val="FootnoteTextChar"/>
    <w:uiPriority w:val="99"/>
    <w:unhideWhenUsed/>
    <w:rsid w:val="00123033"/>
    <w:pPr>
      <w:spacing w:after="60" w:line="264" w:lineRule="auto"/>
    </w:pPr>
    <w:rPr>
      <w:sz w:val="20"/>
      <w:szCs w:val="20"/>
    </w:rPr>
  </w:style>
  <w:style w:type="character" w:customStyle="1" w:styleId="FootnoteTextChar">
    <w:name w:val="Footnote Text Char"/>
    <w:basedOn w:val="DefaultParagraphFont"/>
    <w:link w:val="FootnoteText"/>
    <w:uiPriority w:val="99"/>
    <w:rsid w:val="0012303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rsid w:val="00123033"/>
    <w:pPr>
      <w:spacing w:after="60" w:line="264" w:lineRule="auto"/>
    </w:pPr>
    <w:rPr>
      <w:sz w:val="20"/>
      <w:szCs w:val="20"/>
    </w:rPr>
  </w:style>
  <w:style w:type="character" w:customStyle="1" w:styleId="EndnoteTextChar">
    <w:name w:val="Endnote Text Char"/>
    <w:basedOn w:val="DefaultParagraphFont"/>
    <w:link w:val="EndnoteText"/>
    <w:uiPriority w:val="99"/>
    <w:rsid w:val="00123033"/>
    <w:rPr>
      <w:rFonts w:asciiTheme="minorHAnsi" w:eastAsiaTheme="minorHAnsi" w:hAnsi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rsid w:val="00123033"/>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semiHidden/>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rsid w:val="00123033"/>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pPr>
      <w:numPr>
        <w:ilvl w:val="2"/>
        <w:numId w:val="5"/>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rsid w:val="00123033"/>
    <w:pPr>
      <w:numPr>
        <w:numId w:val="16"/>
      </w:numPr>
      <w:spacing w:before="60" w:after="60"/>
      <w:ind w:left="403"/>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character" w:styleId="UnresolvedMention">
    <w:name w:val="Unresolved Mention"/>
    <w:basedOn w:val="DefaultParagraphFont"/>
    <w:uiPriority w:val="99"/>
    <w:semiHidden/>
    <w:unhideWhenUsed/>
    <w:rsid w:val="00EE4833"/>
    <w:rPr>
      <w:color w:val="605E5C"/>
      <w:shd w:val="clear" w:color="auto" w:fill="E1DFDD"/>
    </w:rPr>
  </w:style>
  <w:style w:type="paragraph" w:styleId="ListParagraph">
    <w:name w:val="List Paragraph"/>
    <w:basedOn w:val="Normal"/>
    <w:uiPriority w:val="34"/>
    <w:semiHidden/>
    <w:qFormat/>
    <w:rsid w:val="006C261F"/>
    <w:pPr>
      <w:spacing w:after="0" w:line="240" w:lineRule="auto"/>
      <w:ind w:left="720"/>
    </w:pPr>
    <w:rPr>
      <w:rFonts w:ascii="Calibri" w:hAnsi="Calibri" w:cs="Calibri"/>
    </w:rPr>
  </w:style>
  <w:style w:type="paragraph" w:styleId="Date">
    <w:name w:val="Date"/>
    <w:aliases w:val="Reference"/>
    <w:basedOn w:val="Normal"/>
    <w:next w:val="Normal"/>
    <w:link w:val="DateChar"/>
    <w:uiPriority w:val="99"/>
    <w:unhideWhenUsed/>
    <w:rsid w:val="003F2079"/>
    <w:pPr>
      <w:spacing w:before="240" w:after="480" w:line="360" w:lineRule="auto"/>
    </w:pPr>
  </w:style>
  <w:style w:type="character" w:customStyle="1" w:styleId="DateChar">
    <w:name w:val="Date Char"/>
    <w:aliases w:val="Reference Char"/>
    <w:basedOn w:val="DefaultParagraphFont"/>
    <w:link w:val="Date"/>
    <w:uiPriority w:val="99"/>
    <w:rsid w:val="003F2079"/>
    <w:rPr>
      <w:rFonts w:asciiTheme="minorHAnsi" w:eastAsiaTheme="minorHAnsi" w:hAnsiTheme="minorHAnsi" w:cstheme="minorBidi"/>
      <w:sz w:val="22"/>
      <w:szCs w:val="22"/>
      <w:lang w:eastAsia="en-US"/>
    </w:rPr>
  </w:style>
  <w:style w:type="paragraph" w:customStyle="1" w:styleId="Picture">
    <w:name w:val="Picture"/>
    <w:basedOn w:val="Normal"/>
    <w:uiPriority w:val="17"/>
    <w:qFormat/>
    <w:rsid w:val="007C7FAF"/>
    <w:pPr>
      <w:spacing w:before="120" w:after="120" w:line="240" w:lineRule="auto"/>
    </w:pPr>
    <w:rPr>
      <w:rFonts w:asciiTheme="majorHAnsi" w:hAnsiTheme="majorHAnsi"/>
      <w:noProof/>
      <w:lang w:eastAsia="en-AU"/>
    </w:rPr>
  </w:style>
  <w:style w:type="paragraph" w:customStyle="1" w:styleId="Series">
    <w:name w:val="Series"/>
    <w:semiHidden/>
    <w:qFormat/>
    <w:rsid w:val="00527FEC"/>
    <w:pPr>
      <w:spacing w:before="120" w:after="120"/>
    </w:pPr>
    <w:rPr>
      <w:rFonts w:asciiTheme="minorHAnsi" w:eastAsiaTheme="minorHAnsi" w:hAnsiTheme="minorHAnsi" w:cstheme="minorBidi"/>
      <w:b/>
      <w:i/>
      <w:sz w:val="32"/>
      <w:szCs w:val="22"/>
      <w:lang w:eastAsia="en-US"/>
    </w:rPr>
  </w:style>
  <w:style w:type="character" w:customStyle="1" w:styleId="Attachment">
    <w:name w:val="Attachment"/>
    <w:uiPriority w:val="1"/>
    <w:qFormat/>
    <w:rsid w:val="007C7FAF"/>
    <w:rPr>
      <w:u w:val="single"/>
    </w:rPr>
  </w:style>
  <w:style w:type="character" w:customStyle="1" w:styleId="Advisorytext">
    <w:name w:val="Advisory text"/>
    <w:uiPriority w:val="1"/>
    <w:qFormat/>
    <w:rsid w:val="007C7FAF"/>
    <w:rPr>
      <w:bdr w:val="none" w:sz="0" w:space="0" w:color="auto"/>
      <w:shd w:val="clear" w:color="auto" w:fill="EEECE1"/>
    </w:rPr>
  </w:style>
  <w:style w:type="paragraph" w:customStyle="1" w:styleId="Footersecurityclassification">
    <w:name w:val="Footer security classification"/>
    <w:basedOn w:val="Footer"/>
    <w:next w:val="Footer"/>
    <w:qFormat/>
    <w:rsid w:val="00BE168A"/>
    <w:pPr>
      <w:jc w:val="center"/>
    </w:pPr>
    <w:rPr>
      <w:b/>
      <w:color w:val="FF0000"/>
      <w:sz w:val="24"/>
    </w:rPr>
  </w:style>
  <w:style w:type="character" w:styleId="PageNumber">
    <w:name w:val="page number"/>
    <w:basedOn w:val="DefaultParagraphFont"/>
    <w:uiPriority w:val="99"/>
    <w:semiHidden/>
    <w:unhideWhenUsed/>
    <w:rsid w:val="00BE168A"/>
  </w:style>
  <w:style w:type="paragraph" w:customStyle="1" w:styleId="Normalnumbered">
    <w:name w:val="Normal numbered"/>
    <w:basedOn w:val="Normal"/>
    <w:semiHidden/>
    <w:qFormat/>
    <w:rsid w:val="00DE1D2F"/>
    <w:pPr>
      <w:numPr>
        <w:numId w:val="34"/>
      </w:numPr>
      <w:ind w:left="360"/>
    </w:pPr>
  </w:style>
  <w:style w:type="paragraph" w:styleId="NoSpacing">
    <w:name w:val="No Spacing"/>
    <w:uiPriority w:val="99"/>
    <w:qFormat/>
    <w:rsid w:val="00DE1D2F"/>
    <w:rPr>
      <w:rFonts w:asciiTheme="minorHAnsi" w:eastAsiaTheme="minorHAnsi" w:hAnsiTheme="minorHAnsi" w:cstheme="minorBidi"/>
      <w:sz w:val="22"/>
      <w:szCs w:val="22"/>
      <w:lang w:eastAsia="en-US"/>
    </w:rPr>
  </w:style>
  <w:style w:type="character" w:customStyle="1" w:styleId="AdvisoryEmphasis">
    <w:name w:val="Advisory Emphasis"/>
    <w:basedOn w:val="Advisorytext"/>
    <w:uiPriority w:val="1"/>
    <w:qFormat/>
    <w:rsid w:val="00360845"/>
    <w:rPr>
      <w:i/>
      <w:bdr w:val="none" w:sz="0" w:space="0" w:color="auto"/>
      <w:shd w:val="clear" w:color="auto" w:fill="EEECE1"/>
    </w:rPr>
  </w:style>
  <w:style w:type="character" w:customStyle="1" w:styleId="AdvisoryBold">
    <w:name w:val="Advisory Bold"/>
    <w:basedOn w:val="Advisorytext"/>
    <w:uiPriority w:val="1"/>
    <w:qFormat/>
    <w:rsid w:val="002310CE"/>
    <w:rPr>
      <w:b/>
      <w:bdr w:val="none" w:sz="0" w:space="0" w:color="auto"/>
      <w:shd w:val="clear" w:color="auto" w:fill="EEECE1"/>
    </w:rPr>
  </w:style>
  <w:style w:type="paragraph" w:styleId="Revision">
    <w:name w:val="Revision"/>
    <w:hidden/>
    <w:uiPriority w:val="99"/>
    <w:semiHidden/>
    <w:rsid w:val="00A80DA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2" ma:contentTypeDescription="Create a new document." ma:contentTypeScope="" ma:versionID="c33b9310f5eac76302940cbac52fb5c4">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96d0b423179acbbff209fe84a55cb49e"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4:SharedWithUsers" minOccurs="0"/>
                <xsd:element ref="ns4: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36b5be2-cf4e-43ec-8734-a0fb5251e776}"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2006/documentManagement/types"/>
    <ds:schemaRef ds:uri="b98728ac-f998-415c-abee-6b046fb1441e"/>
    <ds:schemaRef ds:uri="http://purl.org/dc/terms/"/>
    <ds:schemaRef ds:uri="http://schemas.microsoft.com/office/infopath/2007/PartnerControls"/>
    <ds:schemaRef ds:uri="http://schemas.openxmlformats.org/package/2006/metadata/core-properties"/>
    <ds:schemaRef ds:uri="http://purl.org/dc/elements/1.1/"/>
    <ds:schemaRef ds:uri="http://www.w3.org/XML/1998/namespace"/>
    <ds:schemaRef ds:uri="d869c146-c82e-4435-92e4-da91542262fd"/>
    <ds:schemaRef ds:uri="81c01dc6-2c49-4730-b140-874c95cac377"/>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14AF84D-77CA-4599-9E75-4D9BC48E2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Pre-referral-Meeting-Agenda-Template</vt:lpstr>
    </vt:vector>
  </TitlesOfParts>
  <Company>Department of Climate Change, Energy, the Environment and Water</Company>
  <LinksUpToDate>false</LinksUpToDate>
  <CharactersWithSpaces>3039</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Pre-referral-Meeting-Agenda-Template</dc:title>
  <dc:creator>Department of Climate Change, Energy, the Environment and Water</dc:creator>
  <cp:lastModifiedBy>Nguyen, Lien</cp:lastModifiedBy>
  <cp:revision>3</cp:revision>
  <cp:lastPrinted>2013-10-18T05:59:00Z</cp:lastPrinted>
  <dcterms:created xsi:type="dcterms:W3CDTF">2023-04-21T05:17:00Z</dcterms:created>
  <dcterms:modified xsi:type="dcterms:W3CDTF">2023-04-24T04:01:00Z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0x010100FA74AAA033C0CE4A81C1ECDFABC86D27006943695E90871D46A3B1D60ED1982B3E</vt:lpwstr>
  </property>
  <property fmtid="{D5CDD505-2E9C-101B-9397-08002B2CF9AE}" pid="3" name="RecordPoint_WorkflowType">
    <vt:lpwstr>ActiveSubmitStub</vt:lpwstr>
  </property>
  <property fmtid="{D5CDD505-2E9C-101B-9397-08002B2CF9AE}" pid="4" name="RecordPoint_ActiveItemSiteId">
    <vt:lpwstr>{ee06f586-34ff-4e60-9b59-8034275c7b5d}</vt:lpwstr>
  </property>
  <property fmtid="{D5CDD505-2E9C-101B-9397-08002B2CF9AE}" pid="5" name="RecordPoint_ActiveItemListId">
    <vt:lpwstr>{04f4f6ab-d50f-45cd-b68a-68d100a3b95d}</vt:lpwstr>
  </property>
  <property fmtid="{D5CDD505-2E9C-101B-9397-08002B2CF9AE}" pid="6" name="RecordPoint_ActiveItemUniqueId">
    <vt:lpwstr>{e99aa58a-c8b4-4c68-9587-690c2f711be0}</vt:lpwstr>
  </property>
  <property fmtid="{D5CDD505-2E9C-101B-9397-08002B2CF9AE}" pid="7" name="RecordPoint_ActiveItemWebId">
    <vt:lpwstr>{4f01874a-75c0-48e1-8215-c6f3101fd3a7}</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ActiveItemMoved">
    <vt:lpwstr/>
  </property>
  <property fmtid="{D5CDD505-2E9C-101B-9397-08002B2CF9AE}" pid="12" name="RecordPoint_RecordFormat">
    <vt:lpwstr/>
  </property>
  <property fmtid="{D5CDD505-2E9C-101B-9397-08002B2CF9AE}" pid="13" name="MediaServiceImageTags">
    <vt:lpwstr/>
  </property>
</Properties>
</file>