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003FC" w14:textId="7604BEAB" w:rsidR="006811B9" w:rsidRDefault="00F04F26">
      <w:pPr>
        <w:pStyle w:val="Heading1"/>
      </w:pPr>
      <w:r>
        <w:rPr>
          <w:rFonts w:ascii="Arial" w:hAnsi="Arial"/>
          <w:noProof/>
        </w:rPr>
        <w:drawing>
          <wp:inline distT="0" distB="0" distL="0" distR="0" wp14:anchorId="486780AC" wp14:editId="71256547">
            <wp:extent cx="3581400" cy="495300"/>
            <wp:effectExtent l="0" t="0" r="0" b="0"/>
            <wp:docPr id="1" name="Picture 2" descr="Department of the Environment, Water, Heritage and the Arts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Department of the Environment, Water, Heritage and the Arts cr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1400" cy="495300"/>
                    </a:xfrm>
                    <a:prstGeom prst="rect">
                      <a:avLst/>
                    </a:prstGeom>
                    <a:noFill/>
                    <a:ln>
                      <a:noFill/>
                    </a:ln>
                  </pic:spPr>
                </pic:pic>
              </a:graphicData>
            </a:graphic>
          </wp:inline>
        </w:drawing>
      </w:r>
    </w:p>
    <w:p w14:paraId="3EF5B7FC" w14:textId="77777777" w:rsidR="006811B9" w:rsidRDefault="006811B9">
      <w:pPr>
        <w:pStyle w:val="Heading1"/>
      </w:pPr>
    </w:p>
    <w:p w14:paraId="73A0056D" w14:textId="77777777" w:rsidR="006811B9" w:rsidRDefault="006811B9">
      <w:pPr>
        <w:pStyle w:val="StyleTitle-EPBCPSbackgroundRight"/>
      </w:pPr>
    </w:p>
    <w:p w14:paraId="5CFD205B" w14:textId="77777777" w:rsidR="006811B9" w:rsidRDefault="006811B9">
      <w:pPr>
        <w:pStyle w:val="StyleTitle-EPBCPSbackgroundRight"/>
      </w:pPr>
    </w:p>
    <w:p w14:paraId="75CF2357" w14:textId="77777777" w:rsidR="006811B9" w:rsidRDefault="006811B9">
      <w:pPr>
        <w:pStyle w:val="StyleTitle-EPBCPSbackgroundRight"/>
      </w:pPr>
    </w:p>
    <w:p w14:paraId="268BAA1B" w14:textId="77777777" w:rsidR="006811B9" w:rsidRDefault="006811B9">
      <w:pPr>
        <w:pStyle w:val="StyleTitle-EPBCPSbackgroundRight"/>
      </w:pPr>
      <w:r>
        <w:t>EPBC Act Policy Statement 3.14</w:t>
      </w:r>
      <w:r>
        <w:br/>
        <w:t>Nationally Threatened Species and Ecological Communities</w:t>
      </w:r>
    </w:p>
    <w:p w14:paraId="57099E0E" w14:textId="77777777" w:rsidR="006811B9" w:rsidRDefault="006811B9">
      <w:r>
        <w:tab/>
      </w:r>
    </w:p>
    <w:p w14:paraId="27016D88" w14:textId="77777777" w:rsidR="006811B9" w:rsidRDefault="006811B9">
      <w:pPr>
        <w:pStyle w:val="StyleTitle-EPBCPSbackgroundRight"/>
      </w:pPr>
      <w:r>
        <w:t xml:space="preserve">Significant impact guidelines for the vulnerable </w:t>
      </w:r>
    </w:p>
    <w:p w14:paraId="7CD3CA34" w14:textId="77777777" w:rsidR="006811B9" w:rsidRDefault="006811B9">
      <w:pPr>
        <w:pStyle w:val="StyleTitle-EPBCPSbackgroundRight"/>
      </w:pPr>
      <w:r>
        <w:t>growling grass frog (</w:t>
      </w:r>
      <w:proofErr w:type="spellStart"/>
      <w:r>
        <w:rPr>
          <w:i/>
        </w:rPr>
        <w:t>Litoria</w:t>
      </w:r>
      <w:proofErr w:type="spellEnd"/>
      <w:r>
        <w:rPr>
          <w:i/>
        </w:rPr>
        <w:t xml:space="preserve"> </w:t>
      </w:r>
      <w:proofErr w:type="spellStart"/>
      <w:r>
        <w:rPr>
          <w:i/>
        </w:rPr>
        <w:t>raniformis</w:t>
      </w:r>
      <w:proofErr w:type="spellEnd"/>
      <w:r>
        <w:t>)</w:t>
      </w:r>
    </w:p>
    <w:p w14:paraId="640117E3" w14:textId="77777777" w:rsidR="006811B9" w:rsidRDefault="006811B9">
      <w:pPr>
        <w:jc w:val="right"/>
        <w:rPr>
          <w:rFonts w:ascii="Arial Narrow" w:hAnsi="Arial Narrow"/>
          <w:i/>
          <w:color w:val="3366FF"/>
        </w:rPr>
      </w:pPr>
      <w:r>
        <w:rPr>
          <w:rFonts w:ascii="Arial Narrow" w:hAnsi="Arial Narrow"/>
          <w:i/>
        </w:rPr>
        <w:t>February 2009</w:t>
      </w:r>
    </w:p>
    <w:p w14:paraId="18FE47FE" w14:textId="77777777" w:rsidR="006811B9" w:rsidRDefault="006811B9">
      <w:pPr>
        <w:overflowPunct w:val="0"/>
        <w:autoSpaceDE w:val="0"/>
        <w:autoSpaceDN w:val="0"/>
        <w:adjustRightInd w:val="0"/>
        <w:spacing w:before="0" w:after="0"/>
        <w:textAlignment w:val="baseline"/>
        <w:rPr>
          <w:rFonts w:ascii="Arial Narrow" w:hAnsi="Arial Narrow"/>
          <w:sz w:val="20"/>
          <w:szCs w:val="20"/>
        </w:rPr>
      </w:pPr>
    </w:p>
    <w:p w14:paraId="6E1C9DA8" w14:textId="77777777" w:rsidR="006811B9" w:rsidRDefault="006811B9">
      <w:pPr>
        <w:overflowPunct w:val="0"/>
        <w:autoSpaceDE w:val="0"/>
        <w:autoSpaceDN w:val="0"/>
        <w:adjustRightInd w:val="0"/>
        <w:spacing w:before="0" w:after="0"/>
        <w:textAlignment w:val="baseline"/>
        <w:rPr>
          <w:rFonts w:ascii="Arial Narrow" w:hAnsi="Arial Narrow"/>
          <w:color w:val="FF0000"/>
          <w:sz w:val="20"/>
          <w:szCs w:val="20"/>
        </w:rPr>
      </w:pPr>
    </w:p>
    <w:p w14:paraId="5AD933AF" w14:textId="45ED76D5" w:rsidR="006811B9" w:rsidRDefault="00F04F26">
      <w:pPr>
        <w:jc w:val="center"/>
      </w:pPr>
      <w:r>
        <w:rPr>
          <w:noProof/>
        </w:rPr>
        <w:drawing>
          <wp:inline distT="0" distB="0" distL="0" distR="0" wp14:anchorId="45C02D10" wp14:editId="3FA6C674">
            <wp:extent cx="5486400" cy="3657600"/>
            <wp:effectExtent l="0" t="0" r="0" b="0"/>
            <wp:docPr id="2" name="Picture 2" descr="growling grass fr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owling grass fro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59A0B1F1" w14:textId="77777777" w:rsidR="006811B9" w:rsidRDefault="006811B9"/>
    <w:p w14:paraId="04D73D93" w14:textId="77777777" w:rsidR="006811B9" w:rsidRDefault="006811B9"/>
    <w:p w14:paraId="5061EDC5" w14:textId="77777777" w:rsidR="006811B9" w:rsidRDefault="006811B9"/>
    <w:p w14:paraId="57EB6F57" w14:textId="77777777" w:rsidR="006811B9" w:rsidRDefault="006811B9"/>
    <w:p w14:paraId="7E1B2F19" w14:textId="77777777" w:rsidR="006811B9" w:rsidRDefault="006811B9"/>
    <w:p w14:paraId="73EAD1C2" w14:textId="77777777" w:rsidR="006811B9" w:rsidRDefault="006811B9"/>
    <w:p w14:paraId="127DED1A" w14:textId="77777777" w:rsidR="006811B9" w:rsidRDefault="006811B9"/>
    <w:p w14:paraId="03FDA809" w14:textId="77777777" w:rsidR="006811B9" w:rsidRDefault="006811B9"/>
    <w:p w14:paraId="35240D7A" w14:textId="77777777" w:rsidR="006811B9" w:rsidRDefault="006811B9">
      <w:pPr>
        <w:pStyle w:val="Heading1"/>
        <w:rPr>
          <w:rFonts w:ascii="Arial" w:hAnsi="Arial"/>
          <w:szCs w:val="24"/>
        </w:rPr>
      </w:pPr>
    </w:p>
    <w:p w14:paraId="4325E19A" w14:textId="77777777" w:rsidR="006811B9" w:rsidRDefault="006811B9">
      <w:pPr>
        <w:pStyle w:val="Heading1"/>
        <w:rPr>
          <w:rFonts w:ascii="Arial" w:hAnsi="Arial"/>
          <w:szCs w:val="24"/>
        </w:rPr>
      </w:pPr>
    </w:p>
    <w:p w14:paraId="1F4CBA72" w14:textId="77777777" w:rsidR="006811B9" w:rsidRDefault="006811B9">
      <w:pPr>
        <w:pStyle w:val="Heading1"/>
        <w:rPr>
          <w:rFonts w:ascii="Arial" w:hAnsi="Arial"/>
          <w:szCs w:val="24"/>
        </w:rPr>
      </w:pPr>
    </w:p>
    <w:p w14:paraId="5D9977A9" w14:textId="77777777" w:rsidR="006811B9" w:rsidRDefault="006811B9">
      <w:pPr>
        <w:pStyle w:val="Heading1"/>
        <w:rPr>
          <w:rFonts w:ascii="Arial" w:hAnsi="Arial"/>
          <w:sz w:val="20"/>
          <w:szCs w:val="20"/>
        </w:rPr>
      </w:pPr>
    </w:p>
    <w:p w14:paraId="63907CD6" w14:textId="77777777" w:rsidR="006811B9" w:rsidRDefault="006811B9">
      <w:pPr>
        <w:pStyle w:val="Pa5"/>
        <w:rPr>
          <w:rFonts w:cs="Arial"/>
          <w:color w:val="000000"/>
          <w:sz w:val="20"/>
          <w:szCs w:val="20"/>
        </w:rPr>
      </w:pPr>
      <w:r>
        <w:rPr>
          <w:rFonts w:cs="Arial"/>
          <w:b/>
          <w:bCs/>
          <w:color w:val="000000"/>
          <w:sz w:val="20"/>
          <w:szCs w:val="20"/>
        </w:rPr>
        <w:t>© Commonwealth of Australia 2009</w:t>
      </w:r>
    </w:p>
    <w:p w14:paraId="391213E8" w14:textId="77777777" w:rsidR="006811B9" w:rsidRDefault="006811B9">
      <w:pPr>
        <w:pStyle w:val="Pa5"/>
        <w:rPr>
          <w:rFonts w:cs="Arial"/>
          <w:color w:val="000000"/>
          <w:sz w:val="20"/>
          <w:szCs w:val="20"/>
        </w:rPr>
      </w:pPr>
      <w:r>
        <w:rPr>
          <w:rFonts w:cs="Arial"/>
          <w:color w:val="000000"/>
          <w:sz w:val="20"/>
          <w:szCs w:val="20"/>
        </w:rPr>
        <w:t>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addressed to Commonwealth Copyright Administration, Attorney General’s Department, Robert Garran Offices, National Circuit, Barton ACT 2600 or posted at www.ag.gov.au/cca.</w:t>
      </w:r>
    </w:p>
    <w:p w14:paraId="05926FEB" w14:textId="77777777" w:rsidR="006811B9" w:rsidRDefault="006811B9">
      <w:pPr>
        <w:pStyle w:val="Pa5"/>
        <w:rPr>
          <w:rFonts w:cs="Arial"/>
          <w:color w:val="000000"/>
          <w:sz w:val="20"/>
          <w:szCs w:val="20"/>
        </w:rPr>
      </w:pPr>
      <w:r>
        <w:rPr>
          <w:rFonts w:cs="Arial"/>
          <w:b/>
          <w:bCs/>
          <w:color w:val="000000"/>
          <w:sz w:val="20"/>
          <w:szCs w:val="20"/>
        </w:rPr>
        <w:t>Disclaimer</w:t>
      </w:r>
    </w:p>
    <w:p w14:paraId="5DDC4C88" w14:textId="77777777" w:rsidR="006811B9" w:rsidRDefault="006811B9">
      <w:pPr>
        <w:pStyle w:val="NormalWeb"/>
        <w:rPr>
          <w:rFonts w:ascii="Arial" w:hAnsi="Arial" w:cs="Arial"/>
          <w:color w:val="000000"/>
          <w:sz w:val="20"/>
          <w:szCs w:val="20"/>
        </w:rPr>
      </w:pPr>
      <w:r>
        <w:rPr>
          <w:rFonts w:ascii="Arial" w:hAnsi="Arial" w:cs="Arial"/>
          <w:color w:val="000000"/>
          <w:sz w:val="20"/>
          <w:szCs w:val="20"/>
        </w:rPr>
        <w:t xml:space="preserve">The contents of this document have been compiled using a range of source materials and is valid as </w:t>
      </w:r>
      <w:proofErr w:type="gramStart"/>
      <w:r>
        <w:rPr>
          <w:rFonts w:ascii="Arial" w:hAnsi="Arial" w:cs="Arial"/>
          <w:color w:val="000000"/>
          <w:sz w:val="20"/>
          <w:szCs w:val="20"/>
        </w:rPr>
        <w:t>at</w:t>
      </w:r>
      <w:proofErr w:type="gramEnd"/>
      <w:r>
        <w:rPr>
          <w:rFonts w:ascii="Arial" w:hAnsi="Arial" w:cs="Arial"/>
          <w:color w:val="000000"/>
          <w:sz w:val="20"/>
          <w:szCs w:val="20"/>
        </w:rPr>
        <w:t xml:space="preserve"> August 2009. The Australian Government is not liable for any loss or damage that may be occasioned directly or indirectly </w:t>
      </w:r>
      <w:proofErr w:type="gramStart"/>
      <w:r>
        <w:rPr>
          <w:rFonts w:ascii="Arial" w:hAnsi="Arial" w:cs="Arial"/>
          <w:color w:val="000000"/>
          <w:sz w:val="20"/>
          <w:szCs w:val="20"/>
        </w:rPr>
        <w:t>through the use of</w:t>
      </w:r>
      <w:proofErr w:type="gramEnd"/>
      <w:r>
        <w:rPr>
          <w:rFonts w:ascii="Arial" w:hAnsi="Arial" w:cs="Arial"/>
          <w:color w:val="000000"/>
          <w:sz w:val="20"/>
          <w:szCs w:val="20"/>
        </w:rPr>
        <w:t xml:space="preserve"> or reliance on the contents of the document.</w:t>
      </w:r>
    </w:p>
    <w:p w14:paraId="6770E627" w14:textId="77777777" w:rsidR="006811B9" w:rsidRDefault="006811B9">
      <w:pPr>
        <w:pStyle w:val="Heading2"/>
        <w:numPr>
          <w:ilvl w:val="0"/>
          <w:numId w:val="1"/>
        </w:numPr>
        <w:rPr>
          <w:rFonts w:ascii="Arial" w:hAnsi="Arial"/>
        </w:rPr>
      </w:pPr>
      <w:r>
        <w:br w:type="page"/>
      </w:r>
      <w:r>
        <w:rPr>
          <w:rFonts w:ascii="Arial" w:hAnsi="Arial"/>
        </w:rPr>
        <w:lastRenderedPageBreak/>
        <w:t>Introduction</w:t>
      </w:r>
    </w:p>
    <w:p w14:paraId="713A63D2" w14:textId="77777777" w:rsidR="006811B9" w:rsidRDefault="006811B9">
      <w:pPr>
        <w:rPr>
          <w:rFonts w:ascii="Arial" w:hAnsi="Arial" w:cs="Arial"/>
        </w:rPr>
      </w:pPr>
      <w:r>
        <w:rPr>
          <w:rFonts w:ascii="Arial" w:hAnsi="Arial" w:cs="Arial"/>
        </w:rPr>
        <w:t>The growling grass frog (</w:t>
      </w:r>
      <w:proofErr w:type="spellStart"/>
      <w:r>
        <w:rPr>
          <w:rFonts w:ascii="Arial" w:hAnsi="Arial" w:cs="Arial"/>
          <w:i/>
        </w:rPr>
        <w:t>Litoria</w:t>
      </w:r>
      <w:proofErr w:type="spellEnd"/>
      <w:r>
        <w:rPr>
          <w:rFonts w:ascii="Arial" w:hAnsi="Arial" w:cs="Arial"/>
          <w:i/>
        </w:rPr>
        <w:t xml:space="preserve"> </w:t>
      </w:r>
      <w:proofErr w:type="spellStart"/>
      <w:r>
        <w:rPr>
          <w:rFonts w:ascii="Arial" w:hAnsi="Arial" w:cs="Arial"/>
          <w:i/>
        </w:rPr>
        <w:t>raniformis</w:t>
      </w:r>
      <w:proofErr w:type="spellEnd"/>
      <w:r>
        <w:rPr>
          <w:rFonts w:ascii="Arial" w:hAnsi="Arial" w:cs="Arial"/>
        </w:rPr>
        <w:t>) is listed as vulnerable</w:t>
      </w:r>
      <w:r>
        <w:rPr>
          <w:rFonts w:ascii="Arial" w:hAnsi="Arial" w:cs="Arial"/>
          <w:color w:val="3366FF"/>
        </w:rPr>
        <w:t xml:space="preserve"> </w:t>
      </w:r>
      <w:r>
        <w:rPr>
          <w:rFonts w:ascii="Arial" w:hAnsi="Arial" w:cs="Arial"/>
        </w:rPr>
        <w:t xml:space="preserve">under the Australian Government </w:t>
      </w:r>
      <w:r>
        <w:rPr>
          <w:rFonts w:ascii="Arial" w:hAnsi="Arial" w:cs="Arial"/>
          <w:i/>
        </w:rPr>
        <w:t>Environment Protection and Biodiversity Conservation Act 1999</w:t>
      </w:r>
      <w:r>
        <w:rPr>
          <w:rFonts w:ascii="Arial" w:hAnsi="Arial" w:cs="Arial"/>
        </w:rPr>
        <w:t xml:space="preserve"> (EPBC Act). Listed threatened species and ecological communities are a matter of national environmental significance. Under the EPBC Act an action will require approval from the federal environment minister if the action has, will have, or is likely to have a ‘significant impact’ on a matter of national environmental significance.</w:t>
      </w:r>
    </w:p>
    <w:p w14:paraId="68146094" w14:textId="77777777" w:rsidR="006811B9" w:rsidRDefault="006811B9">
      <w:pPr>
        <w:pStyle w:val="box"/>
        <w:rPr>
          <w:rFonts w:ascii="Arial" w:hAnsi="Arial" w:cs="Arial"/>
        </w:rPr>
      </w:pPr>
      <w:r>
        <w:rPr>
          <w:rFonts w:ascii="Arial" w:hAnsi="Arial" w:cs="Arial"/>
          <w:color w:val="000000"/>
        </w:rPr>
        <w:t xml:space="preserve">A ‘significant impact’ is an impact which is important, notable, or of consequence, having regard to its context or intensity. Whether or not an action is likely to have a significant impact depends upon the sensitivity, value, and quality of the </w:t>
      </w:r>
      <w:proofErr w:type="gramStart"/>
      <w:r>
        <w:rPr>
          <w:rFonts w:ascii="Arial" w:hAnsi="Arial" w:cs="Arial"/>
          <w:color w:val="000000"/>
        </w:rPr>
        <w:t>environment</w:t>
      </w:r>
      <w:proofErr w:type="gramEnd"/>
      <w:r>
        <w:rPr>
          <w:rFonts w:ascii="Arial" w:hAnsi="Arial" w:cs="Arial"/>
          <w:color w:val="000000"/>
        </w:rPr>
        <w:t xml:space="preserve"> which is impacted, and upon the intensity, duration, magnitude and geographic extent of the impacts. You should consider </w:t>
      </w:r>
      <w:proofErr w:type="gramStart"/>
      <w:r>
        <w:rPr>
          <w:rFonts w:ascii="Arial" w:hAnsi="Arial" w:cs="Arial"/>
          <w:color w:val="000000"/>
        </w:rPr>
        <w:t>all of</w:t>
      </w:r>
      <w:proofErr w:type="gramEnd"/>
      <w:r>
        <w:rPr>
          <w:rFonts w:ascii="Arial" w:hAnsi="Arial" w:cs="Arial"/>
          <w:color w:val="000000"/>
        </w:rPr>
        <w:t xml:space="preserve"> these factors when determining whether an action is likely to have a significant impact on matters of national environmental significance.</w:t>
      </w:r>
    </w:p>
    <w:p w14:paraId="70CA002E" w14:textId="77777777" w:rsidR="006811B9" w:rsidRDefault="006811B9">
      <w:pPr>
        <w:rPr>
          <w:rFonts w:ascii="Arial" w:hAnsi="Arial" w:cs="Arial"/>
          <w:i/>
        </w:rPr>
      </w:pPr>
      <w:r>
        <w:rPr>
          <w:rFonts w:ascii="Arial" w:hAnsi="Arial" w:cs="Arial"/>
        </w:rPr>
        <w:t xml:space="preserve">This policy statement is designed to assist you to determine whether a proposed action is likely to have a significant impact on the growling grass frog (that is, </w:t>
      </w:r>
      <w:proofErr w:type="gramStart"/>
      <w:r>
        <w:rPr>
          <w:rFonts w:ascii="Arial" w:hAnsi="Arial" w:cs="Arial"/>
        </w:rPr>
        <w:t>whether or not</w:t>
      </w:r>
      <w:proofErr w:type="gramEnd"/>
      <w:r>
        <w:rPr>
          <w:rFonts w:ascii="Arial" w:hAnsi="Arial" w:cs="Arial"/>
        </w:rPr>
        <w:t xml:space="preserve"> the action is likely to be a ‘controlled action’ under the EPBC Act).</w:t>
      </w:r>
      <w:r>
        <w:rPr>
          <w:rFonts w:ascii="Arial" w:hAnsi="Arial" w:cs="Arial"/>
          <w:color w:val="3366FF"/>
        </w:rPr>
        <w:t xml:space="preserve"> </w:t>
      </w:r>
      <w:r>
        <w:rPr>
          <w:rFonts w:ascii="Arial" w:hAnsi="Arial" w:cs="Arial"/>
        </w:rPr>
        <w:t xml:space="preserve">The policy statement applies to temperate and semi-arid areas across the current and historic range of the growling grass frog, in western and southern </w:t>
      </w:r>
      <w:smartTag w:uri="urn:schemas-microsoft-com:office:smarttags" w:element="State">
        <w:r>
          <w:rPr>
            <w:rFonts w:ascii="Arial" w:hAnsi="Arial" w:cs="Arial"/>
          </w:rPr>
          <w:t>New South Wales</w:t>
        </w:r>
      </w:smartTag>
      <w:r>
        <w:rPr>
          <w:rFonts w:ascii="Arial" w:hAnsi="Arial" w:cs="Arial"/>
        </w:rPr>
        <w:t xml:space="preserve">, the </w:t>
      </w:r>
      <w:smartTag w:uri="urn:schemas-microsoft-com:office:smarttags" w:element="State">
        <w:r>
          <w:rPr>
            <w:rFonts w:ascii="Arial" w:hAnsi="Arial" w:cs="Arial"/>
          </w:rPr>
          <w:t>Australian Capital Territory</w:t>
        </w:r>
      </w:smartTag>
      <w:r>
        <w:rPr>
          <w:rFonts w:ascii="Arial" w:hAnsi="Arial" w:cs="Arial"/>
        </w:rPr>
        <w:t xml:space="preserve">, </w:t>
      </w:r>
      <w:smartTag w:uri="urn:schemas-microsoft-com:office:smarttags" w:element="City">
        <w:r>
          <w:rPr>
            <w:rFonts w:ascii="Arial" w:hAnsi="Arial" w:cs="Arial"/>
          </w:rPr>
          <w:t>Victoria</w:t>
        </w:r>
      </w:smartTag>
      <w:r>
        <w:rPr>
          <w:rFonts w:ascii="Arial" w:hAnsi="Arial" w:cs="Arial"/>
        </w:rPr>
        <w:t xml:space="preserve">, </w:t>
      </w:r>
      <w:smartTag w:uri="urn:schemas-microsoft-com:office:smarttags" w:element="State">
        <w:r>
          <w:rPr>
            <w:rFonts w:ascii="Arial" w:hAnsi="Arial" w:cs="Arial"/>
          </w:rPr>
          <w:t>South Australia</w:t>
        </w:r>
      </w:smartTag>
      <w:r>
        <w:rPr>
          <w:rFonts w:ascii="Arial" w:hAnsi="Arial" w:cs="Arial"/>
        </w:rPr>
        <w:t xml:space="preserve"> and </w:t>
      </w:r>
      <w:smartTag w:uri="urn:schemas-microsoft-com:office:smarttags" w:element="State">
        <w:smartTag w:uri="urn:schemas-microsoft-com:office:smarttags" w:element="place">
          <w:r>
            <w:rPr>
              <w:rFonts w:ascii="Arial" w:hAnsi="Arial" w:cs="Arial"/>
            </w:rPr>
            <w:t>Tasmania</w:t>
          </w:r>
        </w:smartTag>
      </w:smartTag>
      <w:r>
        <w:rPr>
          <w:rFonts w:ascii="Arial" w:hAnsi="Arial" w:cs="Arial"/>
        </w:rPr>
        <w:t xml:space="preserve"> (Figure 1). </w:t>
      </w:r>
    </w:p>
    <w:p w14:paraId="1075CC91" w14:textId="77777777" w:rsidR="006811B9" w:rsidRDefault="006811B9">
      <w:pPr>
        <w:rPr>
          <w:rFonts w:ascii="Arial" w:hAnsi="Arial" w:cs="Arial"/>
        </w:rPr>
      </w:pPr>
      <w:r>
        <w:rPr>
          <w:rFonts w:ascii="Arial" w:hAnsi="Arial" w:cs="Arial"/>
        </w:rPr>
        <w:t>This policy statement is based on the best available information, including:</w:t>
      </w:r>
    </w:p>
    <w:p w14:paraId="123580DD"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scientific literature</w:t>
      </w:r>
    </w:p>
    <w:p w14:paraId="299D5BE1"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 xml:space="preserve">draft </w:t>
      </w:r>
      <w:r>
        <w:rPr>
          <w:rFonts w:ascii="Arial" w:hAnsi="Arial" w:cs="Arial"/>
          <w:i/>
        </w:rPr>
        <w:t>National</w:t>
      </w:r>
      <w:r>
        <w:rPr>
          <w:rFonts w:ascii="Arial" w:hAnsi="Arial" w:cs="Arial"/>
        </w:rPr>
        <w:t xml:space="preserve"> </w:t>
      </w:r>
      <w:r>
        <w:rPr>
          <w:rFonts w:ascii="Arial" w:hAnsi="Arial" w:cs="Arial"/>
          <w:i/>
        </w:rPr>
        <w:t xml:space="preserve">Recovery Plan for </w:t>
      </w:r>
      <w:proofErr w:type="spellStart"/>
      <w:r>
        <w:rPr>
          <w:rFonts w:ascii="Arial" w:hAnsi="Arial" w:cs="Arial"/>
          <w:i/>
        </w:rPr>
        <w:t>Litoria</w:t>
      </w:r>
      <w:proofErr w:type="spellEnd"/>
      <w:r>
        <w:rPr>
          <w:rFonts w:ascii="Arial" w:hAnsi="Arial" w:cs="Arial"/>
          <w:i/>
        </w:rPr>
        <w:t xml:space="preserve"> </w:t>
      </w:r>
      <w:proofErr w:type="spellStart"/>
      <w:r>
        <w:rPr>
          <w:rFonts w:ascii="Arial" w:hAnsi="Arial" w:cs="Arial"/>
          <w:i/>
        </w:rPr>
        <w:t>raniformis</w:t>
      </w:r>
      <w:proofErr w:type="spellEnd"/>
      <w:r>
        <w:rPr>
          <w:rFonts w:ascii="Arial" w:hAnsi="Arial" w:cs="Arial"/>
          <w:i/>
        </w:rPr>
        <w:t xml:space="preserve"> 2004 – 2008</w:t>
      </w:r>
      <w:r>
        <w:rPr>
          <w:rFonts w:ascii="Arial" w:hAnsi="Arial" w:cs="Arial"/>
        </w:rPr>
        <w:t xml:space="preserve"> (Clemann &amp; Gillespie 2004)</w:t>
      </w:r>
    </w:p>
    <w:p w14:paraId="14DA860E"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consultation with species experts, and</w:t>
      </w:r>
    </w:p>
    <w:p w14:paraId="1E558D39"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application of the national environmental legislation (EPBC Act).</w:t>
      </w:r>
    </w:p>
    <w:p w14:paraId="531777C8" w14:textId="77777777" w:rsidR="006811B9" w:rsidRDefault="006811B9">
      <w:pPr>
        <w:rPr>
          <w:rFonts w:ascii="Arial" w:hAnsi="Arial" w:cs="Arial"/>
        </w:rPr>
      </w:pPr>
      <w:r>
        <w:rPr>
          <w:rFonts w:ascii="Arial" w:hAnsi="Arial" w:cs="Arial"/>
        </w:rPr>
        <w:t xml:space="preserve">This policy statement builds on the information and explanations in </w:t>
      </w:r>
      <w:r>
        <w:rPr>
          <w:rFonts w:ascii="Arial" w:hAnsi="Arial" w:cs="Arial"/>
          <w:i/>
        </w:rPr>
        <w:t>EPBC Act Policy Statement 1.1 Significant Impact Guidelines – Matters of National Environmental Significance</w:t>
      </w:r>
      <w:r>
        <w:rPr>
          <w:rFonts w:ascii="Arial" w:hAnsi="Arial" w:cs="Arial"/>
        </w:rPr>
        <w:t xml:space="preserve">. </w:t>
      </w:r>
    </w:p>
    <w:p w14:paraId="465B16B6" w14:textId="77777777" w:rsidR="006811B9" w:rsidRDefault="006811B9">
      <w:pPr>
        <w:pStyle w:val="Heading2"/>
        <w:numPr>
          <w:ilvl w:val="0"/>
          <w:numId w:val="1"/>
        </w:numPr>
        <w:rPr>
          <w:rFonts w:ascii="Arial" w:hAnsi="Arial"/>
        </w:rPr>
      </w:pPr>
      <w:r>
        <w:rPr>
          <w:rFonts w:ascii="Arial" w:hAnsi="Arial"/>
        </w:rPr>
        <w:t>How to interpret and apply these guidelines</w:t>
      </w:r>
    </w:p>
    <w:p w14:paraId="2F8322E7" w14:textId="77777777" w:rsidR="006811B9" w:rsidRDefault="006811B9">
      <w:pPr>
        <w:rPr>
          <w:rFonts w:ascii="Arial" w:hAnsi="Arial" w:cs="Arial"/>
        </w:rPr>
      </w:pPr>
      <w:r>
        <w:rPr>
          <w:rFonts w:ascii="Arial" w:hAnsi="Arial" w:cs="Arial"/>
        </w:rPr>
        <w:t xml:space="preserve">The thresholds outlined in this policy statement are not designed to be prescriptive, but rather to clarify the level and types of impact likely to be significant at a national level, having regard for the biology, </w:t>
      </w:r>
      <w:proofErr w:type="gramStart"/>
      <w:r>
        <w:rPr>
          <w:rFonts w:ascii="Arial" w:hAnsi="Arial" w:cs="Arial"/>
        </w:rPr>
        <w:t>ecology</w:t>
      </w:r>
      <w:proofErr w:type="gramEnd"/>
      <w:r>
        <w:rPr>
          <w:rFonts w:ascii="Arial" w:hAnsi="Arial" w:cs="Arial"/>
        </w:rPr>
        <w:t xml:space="preserve"> and threats of the species. If you are planning to undertake an action in temperate or semi-arid habitat (in </w:t>
      </w:r>
      <w:smartTag w:uri="urn:schemas-microsoft-com:office:smarttags" w:element="State">
        <w:r>
          <w:rPr>
            <w:rFonts w:ascii="Arial" w:hAnsi="Arial" w:cs="Arial"/>
          </w:rPr>
          <w:t>New South Wales</w:t>
        </w:r>
      </w:smartTag>
      <w:r>
        <w:rPr>
          <w:rFonts w:ascii="Arial" w:hAnsi="Arial" w:cs="Arial"/>
        </w:rPr>
        <w:t xml:space="preserve">, the Australia Capital Territory, Victoria, </w:t>
      </w:r>
      <w:smartTag w:uri="urn:schemas-microsoft-com:office:smarttags" w:element="State">
        <w:r>
          <w:rPr>
            <w:rFonts w:ascii="Arial" w:hAnsi="Arial" w:cs="Arial"/>
          </w:rPr>
          <w:t xml:space="preserve">South </w:t>
        </w:r>
        <w:proofErr w:type="gramStart"/>
        <w:r>
          <w:rPr>
            <w:rFonts w:ascii="Arial" w:hAnsi="Arial" w:cs="Arial"/>
          </w:rPr>
          <w:t>Australia</w:t>
        </w:r>
      </w:smartTag>
      <w:proofErr w:type="gramEnd"/>
      <w:r>
        <w:rPr>
          <w:rFonts w:ascii="Arial" w:hAnsi="Arial" w:cs="Arial"/>
        </w:rPr>
        <w:t xml:space="preserve"> or </w:t>
      </w:r>
      <w:smartTag w:uri="urn:schemas-microsoft-com:office:smarttags" w:element="State">
        <w:smartTag w:uri="urn:schemas-microsoft-com:office:smarttags" w:element="place">
          <w:r>
            <w:rPr>
              <w:rFonts w:ascii="Arial" w:hAnsi="Arial" w:cs="Arial"/>
            </w:rPr>
            <w:t>Tasmania</w:t>
          </w:r>
        </w:smartTag>
      </w:smartTag>
      <w:r>
        <w:rPr>
          <w:rFonts w:ascii="Arial" w:hAnsi="Arial" w:cs="Arial"/>
        </w:rPr>
        <w:t>) you should consider the following:</w:t>
      </w:r>
    </w:p>
    <w:p w14:paraId="54DEC924"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Does my site support the growling grass frog?</w:t>
      </w:r>
    </w:p>
    <w:p w14:paraId="01D74006" w14:textId="77777777" w:rsidR="006811B9" w:rsidRDefault="006811B9">
      <w:pPr>
        <w:numPr>
          <w:ilvl w:val="1"/>
          <w:numId w:val="2"/>
        </w:numPr>
        <w:tabs>
          <w:tab w:val="clear" w:pos="1800"/>
          <w:tab w:val="num" w:pos="1080"/>
        </w:tabs>
        <w:autoSpaceDE w:val="0"/>
        <w:autoSpaceDN w:val="0"/>
        <w:adjustRightInd w:val="0"/>
        <w:spacing w:before="0" w:after="0"/>
        <w:ind w:left="1440"/>
        <w:rPr>
          <w:rFonts w:ascii="Arial" w:hAnsi="Arial" w:cs="Arial"/>
        </w:rPr>
      </w:pPr>
      <w:r>
        <w:rPr>
          <w:rFonts w:ascii="Arial" w:hAnsi="Arial" w:cs="Arial"/>
        </w:rPr>
        <w:t xml:space="preserve">Consider habitat, </w:t>
      </w:r>
      <w:proofErr w:type="gramStart"/>
      <w:r>
        <w:rPr>
          <w:rFonts w:ascii="Arial" w:hAnsi="Arial" w:cs="Arial"/>
        </w:rPr>
        <w:t>records</w:t>
      </w:r>
      <w:proofErr w:type="gramEnd"/>
      <w:r>
        <w:rPr>
          <w:rFonts w:ascii="Arial" w:hAnsi="Arial" w:cs="Arial"/>
        </w:rPr>
        <w:t xml:space="preserve"> and surveys on and near to the site (see section 6).</w:t>
      </w:r>
    </w:p>
    <w:p w14:paraId="39BFE6C5"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What impacts, both direct and indirect, could result from my action?</w:t>
      </w:r>
    </w:p>
    <w:p w14:paraId="1204DD14"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lastRenderedPageBreak/>
        <w:t>Could any of these impacts exceed the thresholds outlined in section 7?</w:t>
      </w:r>
    </w:p>
    <w:p w14:paraId="5FA1F3A6"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What measures could be taken to reduce the level of impact (see section 9)?</w:t>
      </w:r>
    </w:p>
    <w:p w14:paraId="630D07A9" w14:textId="77777777" w:rsidR="006811B9" w:rsidRDefault="006811B9">
      <w:pPr>
        <w:rPr>
          <w:rFonts w:ascii="Arial" w:hAnsi="Arial" w:cs="Arial"/>
        </w:rPr>
      </w:pPr>
      <w:r>
        <w:rPr>
          <w:rFonts w:ascii="Arial" w:hAnsi="Arial" w:cs="Arial"/>
        </w:rPr>
        <w:t xml:space="preserve">If you think that your action may have a significant impact on a matter of national environmental significance, or if you are unsure, you should refer the action to the federal environment minister. The minister will </w:t>
      </w:r>
      <w:proofErr w:type="gramStart"/>
      <w:r>
        <w:rPr>
          <w:rFonts w:ascii="Arial" w:hAnsi="Arial" w:cs="Arial"/>
        </w:rPr>
        <w:t>make a decision</w:t>
      </w:r>
      <w:proofErr w:type="gramEnd"/>
      <w:r>
        <w:rPr>
          <w:rFonts w:ascii="Arial" w:hAnsi="Arial" w:cs="Arial"/>
        </w:rPr>
        <w:t xml:space="preserve"> within 20 business days on whether approval is required under the EPBC Act. Substantial penalties apply for taking an action that has, will have or is likely to have a significant impact without approval. </w:t>
      </w:r>
    </w:p>
    <w:p w14:paraId="05EBCEDE" w14:textId="77777777" w:rsidR="006811B9" w:rsidRDefault="006811B9">
      <w:pPr>
        <w:rPr>
          <w:rFonts w:ascii="Arial" w:hAnsi="Arial" w:cs="Arial"/>
        </w:rPr>
      </w:pPr>
      <w:r>
        <w:rPr>
          <w:rFonts w:ascii="Arial" w:hAnsi="Arial" w:cs="Arial"/>
        </w:rPr>
        <w:t xml:space="preserve">Further information on the EPBC Act, including guidance on the referral, assessment and compliance processes is available at:  </w:t>
      </w:r>
      <w:hyperlink r:id="rId9" w:history="1">
        <w:r>
          <w:rPr>
            <w:rStyle w:val="Hyperlink"/>
            <w:rFonts w:ascii="Arial" w:hAnsi="Arial" w:cs="Arial"/>
          </w:rPr>
          <w:t>www.environment.gov.au</w:t>
        </w:r>
      </w:hyperlink>
      <w:r>
        <w:rPr>
          <w:rFonts w:ascii="Arial" w:hAnsi="Arial" w:cs="Arial"/>
        </w:rPr>
        <w:t xml:space="preserve">. </w:t>
      </w:r>
    </w:p>
    <w:p w14:paraId="426BC06A" w14:textId="77777777" w:rsidR="006811B9" w:rsidRDefault="006811B9">
      <w:pPr>
        <w:pStyle w:val="Heading2"/>
        <w:numPr>
          <w:ilvl w:val="0"/>
          <w:numId w:val="1"/>
        </w:numPr>
        <w:rPr>
          <w:rFonts w:ascii="Arial" w:hAnsi="Arial"/>
        </w:rPr>
      </w:pPr>
      <w:r>
        <w:rPr>
          <w:rFonts w:ascii="Arial" w:hAnsi="Arial"/>
        </w:rPr>
        <w:t>What other laws protect the growling grass frog?</w:t>
      </w:r>
    </w:p>
    <w:p w14:paraId="3AC16AF7" w14:textId="77777777" w:rsidR="006811B9" w:rsidRDefault="006811B9">
      <w:pPr>
        <w:autoSpaceDE w:val="0"/>
        <w:autoSpaceDN w:val="0"/>
        <w:adjustRightInd w:val="0"/>
        <w:spacing w:after="0"/>
        <w:rPr>
          <w:rFonts w:ascii="Arial" w:hAnsi="Arial" w:cs="Arial"/>
        </w:rPr>
      </w:pPr>
      <w:r>
        <w:rPr>
          <w:rFonts w:ascii="Arial" w:hAnsi="Arial" w:cs="Arial"/>
        </w:rPr>
        <w:t xml:space="preserve">The growling grass frog is also listed as threatened under the Victorian </w:t>
      </w:r>
      <w:r>
        <w:rPr>
          <w:rFonts w:ascii="Arial" w:hAnsi="Arial" w:cs="Arial"/>
          <w:i/>
        </w:rPr>
        <w:t>Flora and Fauna Guarantee Act 1988</w:t>
      </w:r>
      <w:r>
        <w:rPr>
          <w:rFonts w:ascii="Arial" w:hAnsi="Arial" w:cs="Arial"/>
        </w:rPr>
        <w:t xml:space="preserve">, vulnerable under the </w:t>
      </w:r>
      <w:smartTag w:uri="urn:schemas-microsoft-com:office:smarttags" w:element="PlaceName">
        <w:r>
          <w:rPr>
            <w:rFonts w:ascii="Arial" w:hAnsi="Arial" w:cs="Arial"/>
          </w:rPr>
          <w:t>South</w:t>
        </w:r>
      </w:smartTag>
      <w:r>
        <w:rPr>
          <w:rFonts w:ascii="Arial" w:hAnsi="Arial" w:cs="Arial"/>
        </w:rPr>
        <w:t xml:space="preserve"> </w:t>
      </w:r>
      <w:smartTag w:uri="urn:schemas-microsoft-com:office:smarttags" w:element="PlaceName">
        <w:r>
          <w:rPr>
            <w:rFonts w:ascii="Arial" w:hAnsi="Arial" w:cs="Arial"/>
          </w:rPr>
          <w:t>Australian</w:t>
        </w:r>
      </w:smartTag>
      <w:r>
        <w:rPr>
          <w:rFonts w:ascii="Arial" w:hAnsi="Arial" w:cs="Arial"/>
        </w:rPr>
        <w:t xml:space="preserve"> </w:t>
      </w:r>
      <w:smartTag w:uri="urn:schemas-microsoft-com:office:smarttags" w:element="PlaceType">
        <w:r>
          <w:rPr>
            <w:rFonts w:ascii="Arial" w:hAnsi="Arial" w:cs="Arial"/>
            <w:bCs/>
            <w:i/>
          </w:rPr>
          <w:t>National Parks</w:t>
        </w:r>
      </w:smartTag>
      <w:r>
        <w:rPr>
          <w:rFonts w:ascii="Arial" w:hAnsi="Arial" w:cs="Arial"/>
          <w:bCs/>
          <w:i/>
        </w:rPr>
        <w:t xml:space="preserve"> and Wildlife Act 1972 </w:t>
      </w:r>
      <w:r>
        <w:rPr>
          <w:rFonts w:ascii="Arial" w:hAnsi="Arial" w:cs="Arial"/>
        </w:rPr>
        <w:t xml:space="preserve">and the Tasmanian </w:t>
      </w:r>
      <w:r>
        <w:rPr>
          <w:rFonts w:ascii="Arial" w:hAnsi="Arial" w:cs="Arial"/>
          <w:i/>
          <w:iCs/>
        </w:rPr>
        <w:t xml:space="preserve">Threatened Species Protection Act </w:t>
      </w:r>
      <w:proofErr w:type="gramStart"/>
      <w:r>
        <w:rPr>
          <w:rFonts w:ascii="Arial" w:hAnsi="Arial" w:cs="Arial"/>
          <w:i/>
          <w:iCs/>
        </w:rPr>
        <w:t>1995</w:t>
      </w:r>
      <w:r>
        <w:rPr>
          <w:rFonts w:ascii="Arial" w:hAnsi="Arial" w:cs="Arial"/>
          <w:iCs/>
        </w:rPr>
        <w:t>, and</w:t>
      </w:r>
      <w:proofErr w:type="gramEnd"/>
      <w:r>
        <w:rPr>
          <w:rFonts w:ascii="Arial" w:hAnsi="Arial" w:cs="Arial"/>
          <w:iCs/>
        </w:rPr>
        <w:t xml:space="preserve"> endangered under the </w:t>
      </w:r>
      <w:smartTag w:uri="urn:schemas-microsoft-com:office:smarttags" w:element="State">
        <w:smartTag w:uri="urn:schemas-microsoft-com:office:smarttags" w:element="place">
          <w:r>
            <w:rPr>
              <w:rFonts w:ascii="Arial" w:hAnsi="Arial" w:cs="Arial"/>
              <w:iCs/>
            </w:rPr>
            <w:t>New South Wales</w:t>
          </w:r>
        </w:smartTag>
      </w:smartTag>
      <w:r>
        <w:rPr>
          <w:rFonts w:ascii="Arial" w:hAnsi="Arial" w:cs="Arial"/>
          <w:iCs/>
        </w:rPr>
        <w:t xml:space="preserve"> </w:t>
      </w:r>
      <w:r>
        <w:rPr>
          <w:rFonts w:ascii="Arial" w:hAnsi="Arial" w:cs="Arial"/>
          <w:i/>
        </w:rPr>
        <w:t>Threatened Species Conservation Act 1995</w:t>
      </w:r>
      <w:r>
        <w:rPr>
          <w:rFonts w:ascii="Arial" w:hAnsi="Arial" w:cs="Arial"/>
        </w:rPr>
        <w:t>.</w:t>
      </w:r>
    </w:p>
    <w:p w14:paraId="29315202" w14:textId="77777777" w:rsidR="006811B9" w:rsidRDefault="006811B9">
      <w:pPr>
        <w:rPr>
          <w:rFonts w:ascii="Arial" w:hAnsi="Arial" w:cs="Arial"/>
        </w:rPr>
      </w:pPr>
      <w:r>
        <w:rPr>
          <w:rFonts w:ascii="Arial" w:hAnsi="Arial" w:cs="Arial"/>
        </w:rPr>
        <w:t xml:space="preserve">The listing of a species, </w:t>
      </w:r>
      <w:proofErr w:type="gramStart"/>
      <w:r>
        <w:rPr>
          <w:rFonts w:ascii="Arial" w:hAnsi="Arial" w:cs="Arial"/>
        </w:rPr>
        <w:t>subspecies</w:t>
      </w:r>
      <w:proofErr w:type="gramEnd"/>
      <w:r>
        <w:rPr>
          <w:rFonts w:ascii="Arial" w:hAnsi="Arial" w:cs="Arial"/>
        </w:rPr>
        <w:t xml:space="preserve"> or ecological community on the EPBC Act threatened species and ecological communities list recognises the importance of the matter from a national perspective, and does not replace listing under state, regional or local legislation or regulations. </w:t>
      </w:r>
    </w:p>
    <w:p w14:paraId="6423ED1E" w14:textId="77777777" w:rsidR="006811B9" w:rsidRDefault="006811B9">
      <w:pPr>
        <w:rPr>
          <w:rFonts w:ascii="Arial" w:hAnsi="Arial" w:cs="Arial"/>
          <w:b/>
        </w:rPr>
      </w:pPr>
      <w:r>
        <w:rPr>
          <w:rFonts w:ascii="Arial" w:hAnsi="Arial" w:cs="Arial"/>
        </w:rPr>
        <w:t xml:space="preserve">Judgements may differ between Commonwealth, state and local </w:t>
      </w:r>
      <w:proofErr w:type="gramStart"/>
      <w:r>
        <w:rPr>
          <w:rFonts w:ascii="Arial" w:hAnsi="Arial" w:cs="Arial"/>
        </w:rPr>
        <w:t>decision making</w:t>
      </w:r>
      <w:proofErr w:type="gramEnd"/>
      <w:r>
        <w:rPr>
          <w:rFonts w:ascii="Arial" w:hAnsi="Arial" w:cs="Arial"/>
        </w:rPr>
        <w:t xml:space="preserve"> processes, due to the different scales of consideration.</w:t>
      </w:r>
      <w:r>
        <w:rPr>
          <w:color w:val="FF0000"/>
        </w:rPr>
        <w:t xml:space="preserve"> </w:t>
      </w:r>
      <w:r>
        <w:rPr>
          <w:rFonts w:ascii="Arial" w:hAnsi="Arial" w:cs="Arial"/>
        </w:rPr>
        <w:t>In some cases, multiple approvals or permits will be necessary before the action can commence.</w:t>
      </w:r>
      <w:r>
        <w:t xml:space="preserve"> </w:t>
      </w:r>
      <w:r>
        <w:rPr>
          <w:rFonts w:ascii="Arial" w:hAnsi="Arial" w:cs="Arial"/>
          <w:lang w:val="en"/>
        </w:rPr>
        <w:t xml:space="preserve">If your activity </w:t>
      </w:r>
      <w:r>
        <w:rPr>
          <w:rFonts w:ascii="Arial" w:hAnsi="Arial" w:cs="Arial"/>
        </w:rPr>
        <w:t xml:space="preserve">could affect the species or individual </w:t>
      </w:r>
      <w:proofErr w:type="gramStart"/>
      <w:r>
        <w:rPr>
          <w:rFonts w:ascii="Arial" w:hAnsi="Arial" w:cs="Arial"/>
        </w:rPr>
        <w:t>animals</w:t>
      </w:r>
      <w:proofErr w:type="gramEnd"/>
      <w:r>
        <w:rPr>
          <w:rFonts w:ascii="Arial" w:hAnsi="Arial" w:cs="Arial"/>
        </w:rPr>
        <w:t xml:space="preserve"> you should also contact the relevant state and local authorities regarding your obligations.</w:t>
      </w:r>
    </w:p>
    <w:p w14:paraId="514C824C" w14:textId="77777777" w:rsidR="006811B9" w:rsidRDefault="006811B9">
      <w:pPr>
        <w:pStyle w:val="Heading2"/>
        <w:numPr>
          <w:ilvl w:val="0"/>
          <w:numId w:val="1"/>
        </w:numPr>
        <w:rPr>
          <w:rFonts w:ascii="Arial" w:hAnsi="Arial"/>
        </w:rPr>
      </w:pPr>
      <w:r>
        <w:rPr>
          <w:rFonts w:ascii="Arial" w:hAnsi="Arial"/>
        </w:rPr>
        <w:t>Ecology of the growling grass frog</w:t>
      </w:r>
    </w:p>
    <w:p w14:paraId="7F2F74BF" w14:textId="77777777" w:rsidR="006811B9" w:rsidRDefault="006811B9">
      <w:pPr>
        <w:pStyle w:val="Heading3"/>
        <w:rPr>
          <w:rFonts w:ascii="Arial" w:hAnsi="Arial"/>
        </w:rPr>
      </w:pPr>
      <w:r>
        <w:rPr>
          <w:rFonts w:ascii="Arial" w:hAnsi="Arial"/>
        </w:rPr>
        <w:t xml:space="preserve">The species </w:t>
      </w:r>
    </w:p>
    <w:p w14:paraId="5A9ECD1B" w14:textId="77777777" w:rsidR="006811B9" w:rsidRDefault="006811B9">
      <w:pPr>
        <w:ind w:right="66"/>
        <w:rPr>
          <w:rFonts w:ascii="Arial" w:hAnsi="Arial" w:cs="Arial"/>
        </w:rPr>
      </w:pPr>
      <w:r>
        <w:rPr>
          <w:rFonts w:ascii="Arial" w:hAnsi="Arial" w:cs="Arial"/>
        </w:rPr>
        <w:t>The growling grass frog is a large frog (females may exceed 100 mm in length) that varies from dull olive to bright emerald-green on the back (dorsum), with large irregular blotches ranging from brown to rich golden-bronze.</w:t>
      </w:r>
    </w:p>
    <w:p w14:paraId="192F5941" w14:textId="77777777" w:rsidR="006811B9" w:rsidRDefault="006811B9">
      <w:pPr>
        <w:rPr>
          <w:rFonts w:ascii="Arial" w:hAnsi="Arial" w:cs="Arial"/>
          <w:bCs/>
          <w:iCs/>
          <w:szCs w:val="22"/>
        </w:rPr>
      </w:pPr>
      <w:r>
        <w:rPr>
          <w:rFonts w:ascii="Arial" w:hAnsi="Arial" w:cs="Arial"/>
          <w:bCs/>
          <w:iCs/>
          <w:szCs w:val="22"/>
        </w:rPr>
        <w:t>The growling grass frog is also known as the southern bell frog, the green and golden frog, the warty frog, the warty bell frog and the green or warty swamp frog.</w:t>
      </w:r>
    </w:p>
    <w:p w14:paraId="487FE14A" w14:textId="77777777" w:rsidR="006811B9" w:rsidRDefault="006811B9">
      <w:pPr>
        <w:ind w:right="66"/>
        <w:rPr>
          <w:rFonts w:ascii="Arial" w:hAnsi="Arial" w:cs="Arial"/>
        </w:rPr>
      </w:pPr>
      <w:r>
        <w:rPr>
          <w:rFonts w:ascii="Arial" w:hAnsi="Arial" w:cs="Arial"/>
        </w:rPr>
        <w:t xml:space="preserve">The species is dependent on a matrix of aquatic and terrestrial habitat for breeding, foraging, </w:t>
      </w:r>
      <w:proofErr w:type="gramStart"/>
      <w:r>
        <w:rPr>
          <w:rFonts w:ascii="Arial" w:hAnsi="Arial" w:cs="Arial"/>
        </w:rPr>
        <w:t>shelter</w:t>
      </w:r>
      <w:proofErr w:type="gramEnd"/>
      <w:r>
        <w:rPr>
          <w:rFonts w:ascii="Arial" w:hAnsi="Arial" w:cs="Arial"/>
        </w:rPr>
        <w:t xml:space="preserve"> and dispersal, and typically occurs in landscapes with both permanent and seasonally flooded water bodies.</w:t>
      </w:r>
    </w:p>
    <w:p w14:paraId="6CF2A314" w14:textId="77777777" w:rsidR="006811B9" w:rsidRDefault="006811B9">
      <w:pPr>
        <w:pStyle w:val="Heading3"/>
        <w:rPr>
          <w:rFonts w:ascii="Arial" w:hAnsi="Arial"/>
        </w:rPr>
      </w:pPr>
      <w:r>
        <w:rPr>
          <w:rFonts w:ascii="Arial" w:hAnsi="Arial"/>
        </w:rPr>
        <w:lastRenderedPageBreak/>
        <w:t>Important populations</w:t>
      </w:r>
    </w:p>
    <w:p w14:paraId="3367363F" w14:textId="77777777" w:rsidR="006811B9" w:rsidRDefault="006811B9">
      <w:pPr>
        <w:ind w:right="-874"/>
        <w:rPr>
          <w:rFonts w:ascii="Arial" w:hAnsi="Arial" w:cs="Arial"/>
        </w:rPr>
      </w:pPr>
      <w:r>
        <w:rPr>
          <w:rFonts w:ascii="Arial" w:hAnsi="Arial" w:cs="Arial"/>
        </w:rPr>
        <w:t xml:space="preserve">Much of the habitat for the growling grass frog has been isolated or fragmented, restricting the opportunity for important population processes such dispersal and colonisation. As such, any viable population </w:t>
      </w:r>
      <w:proofErr w:type="gramStart"/>
      <w:r>
        <w:rPr>
          <w:rFonts w:ascii="Arial" w:hAnsi="Arial" w:cs="Arial"/>
        </w:rPr>
        <w:t>is considered to be</w:t>
      </w:r>
      <w:proofErr w:type="gramEnd"/>
      <w:r>
        <w:rPr>
          <w:rFonts w:ascii="Arial" w:hAnsi="Arial" w:cs="Arial"/>
        </w:rPr>
        <w:t xml:space="preserve"> an important population for the persistence and recovery of the growling grass frog. For this species, a viable population is one which is not isolated from other populations or water bodies, such that it </w:t>
      </w:r>
      <w:proofErr w:type="gramStart"/>
      <w:r>
        <w:rPr>
          <w:rFonts w:ascii="Arial" w:hAnsi="Arial" w:cs="Arial"/>
        </w:rPr>
        <w:t>has the opportunity to</w:t>
      </w:r>
      <w:proofErr w:type="gramEnd"/>
      <w:r>
        <w:rPr>
          <w:rFonts w:ascii="Arial" w:hAnsi="Arial" w:cs="Arial"/>
        </w:rPr>
        <w:t xml:space="preserve"> interact with other nearby populations or has the ability to establish new populations when water bodies fill and become available. Interaction with nearby populations and colonisation of newly available water bodies occurs via the dispersal of individual frogs across suitable movement habitat (see ‘Key ecological requirements of the species’ below). </w:t>
      </w:r>
    </w:p>
    <w:p w14:paraId="1998CBA8" w14:textId="77777777" w:rsidR="006811B9" w:rsidRDefault="006811B9">
      <w:pPr>
        <w:ind w:right="-874"/>
        <w:rPr>
          <w:rFonts w:ascii="Arial" w:hAnsi="Arial" w:cs="Arial"/>
        </w:rPr>
      </w:pPr>
      <w:r>
        <w:rPr>
          <w:rFonts w:ascii="Arial" w:hAnsi="Arial" w:cs="Arial"/>
        </w:rPr>
        <w:t xml:space="preserve">In addition, a population of growling grass frogs could be considered an important population if it is near the limit of the species range (for example </w:t>
      </w:r>
      <w:proofErr w:type="gramStart"/>
      <w:r>
        <w:rPr>
          <w:rFonts w:ascii="Arial" w:hAnsi="Arial" w:cs="Arial"/>
        </w:rPr>
        <w:t>small isolated</w:t>
      </w:r>
      <w:proofErr w:type="gramEnd"/>
      <w:r>
        <w:rPr>
          <w:rFonts w:ascii="Arial" w:hAnsi="Arial" w:cs="Arial"/>
        </w:rPr>
        <w:t xml:space="preserve"> populations in South Australia), is well-studied or has a history of monitoring, and hence provides opportunity for greater understanding of the species through the collection of long-term data.</w:t>
      </w:r>
    </w:p>
    <w:p w14:paraId="15C9AB6C" w14:textId="77777777" w:rsidR="006811B9" w:rsidRDefault="006811B9">
      <w:pPr>
        <w:pStyle w:val="Heading3"/>
        <w:rPr>
          <w:rFonts w:ascii="Arial" w:hAnsi="Arial"/>
        </w:rPr>
      </w:pPr>
      <w:r>
        <w:rPr>
          <w:rFonts w:ascii="Arial" w:hAnsi="Arial"/>
        </w:rPr>
        <w:t>Key ecological requirements of the species</w:t>
      </w:r>
    </w:p>
    <w:tbl>
      <w:tblPr>
        <w:tblStyle w:val="TableGrid"/>
        <w:tblW w:w="0" w:type="auto"/>
        <w:tblLook w:val="01E0" w:firstRow="1" w:lastRow="1" w:firstColumn="1" w:lastColumn="1" w:noHBand="0" w:noVBand="0"/>
      </w:tblPr>
      <w:tblGrid>
        <w:gridCol w:w="4135"/>
        <w:gridCol w:w="4161"/>
      </w:tblGrid>
      <w:tr w:rsidR="006811B9" w14:paraId="3BE066BE" w14:textId="77777777">
        <w:tc>
          <w:tcPr>
            <w:tcW w:w="4261" w:type="dxa"/>
          </w:tcPr>
          <w:p w14:paraId="74C21B55" w14:textId="77777777" w:rsidR="006811B9" w:rsidRDefault="006811B9">
            <w:pPr>
              <w:rPr>
                <w:rFonts w:ascii="Arial" w:hAnsi="Arial" w:cs="Arial"/>
                <w:b/>
                <w:sz w:val="20"/>
                <w:szCs w:val="20"/>
              </w:rPr>
            </w:pPr>
            <w:r>
              <w:rPr>
                <w:rFonts w:ascii="Arial" w:hAnsi="Arial" w:cs="Arial"/>
                <w:b/>
                <w:sz w:val="20"/>
                <w:szCs w:val="20"/>
              </w:rPr>
              <w:t>Dependent on aquatic habitats, and appropriate hydrological regimes, for breeding and dispersal</w:t>
            </w:r>
          </w:p>
        </w:tc>
        <w:tc>
          <w:tcPr>
            <w:tcW w:w="4261" w:type="dxa"/>
          </w:tcPr>
          <w:p w14:paraId="559F888F" w14:textId="77777777" w:rsidR="006811B9" w:rsidRDefault="006811B9">
            <w:pPr>
              <w:numPr>
                <w:ilvl w:val="0"/>
                <w:numId w:val="34"/>
              </w:numPr>
              <w:tabs>
                <w:tab w:val="clear" w:pos="720"/>
                <w:tab w:val="num" w:pos="239"/>
              </w:tabs>
              <w:spacing w:before="0" w:after="0"/>
              <w:ind w:left="238" w:hanging="181"/>
              <w:rPr>
                <w:rFonts w:ascii="Arial" w:hAnsi="Arial" w:cs="Arial"/>
                <w:sz w:val="20"/>
                <w:szCs w:val="20"/>
              </w:rPr>
            </w:pPr>
            <w:r>
              <w:rPr>
                <w:rFonts w:ascii="Arial" w:hAnsi="Arial" w:cs="Arial"/>
                <w:sz w:val="20"/>
                <w:szCs w:val="20"/>
              </w:rPr>
              <w:t>Permanent or seasonally flooded water bodies used for breeding. In semi-arid NSW, seasonal flooding of wetland systems necessary for breeding to occur.</w:t>
            </w:r>
          </w:p>
          <w:p w14:paraId="6446B961" w14:textId="77777777" w:rsidR="006811B9" w:rsidRDefault="006811B9">
            <w:pPr>
              <w:numPr>
                <w:ilvl w:val="0"/>
                <w:numId w:val="34"/>
              </w:numPr>
              <w:tabs>
                <w:tab w:val="clear" w:pos="720"/>
                <w:tab w:val="num" w:pos="239"/>
              </w:tabs>
              <w:spacing w:before="0" w:after="0"/>
              <w:ind w:left="238" w:hanging="181"/>
              <w:rPr>
                <w:rFonts w:ascii="Arial" w:hAnsi="Arial" w:cs="Arial"/>
                <w:sz w:val="20"/>
                <w:szCs w:val="20"/>
              </w:rPr>
            </w:pPr>
            <w:r>
              <w:rPr>
                <w:rFonts w:ascii="Arial" w:hAnsi="Arial" w:cs="Arial"/>
                <w:sz w:val="20"/>
                <w:szCs w:val="20"/>
              </w:rPr>
              <w:t xml:space="preserve">Breeding usually occurs in still or </w:t>
            </w:r>
            <w:proofErr w:type="gramStart"/>
            <w:r>
              <w:rPr>
                <w:rFonts w:ascii="Arial" w:hAnsi="Arial" w:cs="Arial"/>
                <w:sz w:val="20"/>
                <w:szCs w:val="20"/>
              </w:rPr>
              <w:t>slow moving</w:t>
            </w:r>
            <w:proofErr w:type="gramEnd"/>
            <w:r>
              <w:rPr>
                <w:rFonts w:ascii="Arial" w:hAnsi="Arial" w:cs="Arial"/>
                <w:sz w:val="20"/>
                <w:szCs w:val="20"/>
              </w:rPr>
              <w:t xml:space="preserve"> water.</w:t>
            </w:r>
          </w:p>
          <w:p w14:paraId="08429981" w14:textId="77777777" w:rsidR="006811B9" w:rsidRDefault="006811B9">
            <w:pPr>
              <w:numPr>
                <w:ilvl w:val="0"/>
                <w:numId w:val="34"/>
              </w:numPr>
              <w:tabs>
                <w:tab w:val="clear" w:pos="720"/>
                <w:tab w:val="num" w:pos="239"/>
              </w:tabs>
              <w:spacing w:before="0" w:after="0"/>
              <w:ind w:left="238" w:hanging="181"/>
              <w:rPr>
                <w:rFonts w:ascii="Arial" w:hAnsi="Arial" w:cs="Arial"/>
                <w:sz w:val="20"/>
                <w:szCs w:val="20"/>
              </w:rPr>
            </w:pPr>
            <w:r>
              <w:rPr>
                <w:rFonts w:ascii="Arial" w:hAnsi="Arial" w:cs="Arial"/>
                <w:sz w:val="20"/>
                <w:szCs w:val="20"/>
              </w:rPr>
              <w:t>Tadpoles have an aquatic period which can vary between two and 15 months.</w:t>
            </w:r>
          </w:p>
          <w:p w14:paraId="7E07A67A" w14:textId="77777777" w:rsidR="006811B9" w:rsidRDefault="006811B9">
            <w:pPr>
              <w:numPr>
                <w:ilvl w:val="0"/>
                <w:numId w:val="34"/>
              </w:numPr>
              <w:tabs>
                <w:tab w:val="clear" w:pos="720"/>
                <w:tab w:val="num" w:pos="239"/>
              </w:tabs>
              <w:spacing w:before="0" w:after="0"/>
              <w:ind w:left="238" w:hanging="181"/>
              <w:rPr>
                <w:rFonts w:ascii="Arial" w:hAnsi="Arial" w:cs="Arial"/>
                <w:sz w:val="20"/>
                <w:szCs w:val="20"/>
              </w:rPr>
            </w:pPr>
            <w:r>
              <w:rPr>
                <w:rFonts w:ascii="Arial" w:hAnsi="Arial" w:cs="Arial"/>
                <w:sz w:val="20"/>
                <w:szCs w:val="20"/>
              </w:rPr>
              <w:t>Aquatic vegetation provides microhabitats for foraging and shelter for both frogs and tadpoles. Loss or degradation of aquatic habitat and/or disruption to hydrological regimes can lead to population declines and local extinctions.</w:t>
            </w:r>
          </w:p>
          <w:p w14:paraId="068A9481" w14:textId="77777777" w:rsidR="006811B9" w:rsidRDefault="006811B9">
            <w:pPr>
              <w:numPr>
                <w:ilvl w:val="0"/>
                <w:numId w:val="34"/>
              </w:numPr>
              <w:tabs>
                <w:tab w:val="clear" w:pos="720"/>
                <w:tab w:val="num" w:pos="239"/>
              </w:tabs>
              <w:spacing w:before="0" w:after="0"/>
              <w:ind w:left="238" w:hanging="181"/>
              <w:rPr>
                <w:rFonts w:ascii="Arial" w:hAnsi="Arial" w:cs="Arial"/>
                <w:sz w:val="20"/>
                <w:szCs w:val="20"/>
              </w:rPr>
            </w:pPr>
            <w:r>
              <w:rPr>
                <w:rFonts w:ascii="Arial" w:hAnsi="Arial" w:cs="Arial"/>
                <w:sz w:val="20"/>
                <w:szCs w:val="20"/>
              </w:rPr>
              <w:t xml:space="preserve">Aquatic eggs and larvae may also be vulnerable to fish predators, particularly mosquito fish, </w:t>
            </w:r>
            <w:proofErr w:type="gramStart"/>
            <w:r>
              <w:rPr>
                <w:rFonts w:ascii="Arial" w:hAnsi="Arial" w:cs="Arial"/>
                <w:sz w:val="20"/>
                <w:szCs w:val="20"/>
              </w:rPr>
              <w:t>redfin</w:t>
            </w:r>
            <w:proofErr w:type="gramEnd"/>
            <w:r>
              <w:rPr>
                <w:rFonts w:ascii="Arial" w:hAnsi="Arial" w:cs="Arial"/>
                <w:sz w:val="20"/>
                <w:szCs w:val="20"/>
              </w:rPr>
              <w:t xml:space="preserve"> and carp. </w:t>
            </w:r>
          </w:p>
          <w:p w14:paraId="0D6FC7D9" w14:textId="77777777" w:rsidR="006811B9" w:rsidRDefault="006811B9">
            <w:pPr>
              <w:numPr>
                <w:ilvl w:val="0"/>
                <w:numId w:val="34"/>
              </w:numPr>
              <w:tabs>
                <w:tab w:val="clear" w:pos="720"/>
                <w:tab w:val="num" w:pos="239"/>
              </w:tabs>
              <w:spacing w:before="0" w:after="0"/>
              <w:ind w:left="238" w:hanging="181"/>
              <w:rPr>
                <w:rFonts w:ascii="Arial" w:hAnsi="Arial" w:cs="Arial"/>
                <w:sz w:val="20"/>
                <w:szCs w:val="20"/>
              </w:rPr>
            </w:pPr>
            <w:r>
              <w:rPr>
                <w:rFonts w:ascii="Arial" w:hAnsi="Arial" w:cs="Arial"/>
                <w:sz w:val="20"/>
                <w:szCs w:val="20"/>
              </w:rPr>
              <w:t xml:space="preserve">Susceptible to the waterborne fungal pathogen </w:t>
            </w:r>
            <w:r>
              <w:rPr>
                <w:rFonts w:ascii="Arial" w:hAnsi="Arial" w:cs="Arial"/>
                <w:i/>
                <w:sz w:val="20"/>
                <w:szCs w:val="20"/>
              </w:rPr>
              <w:t xml:space="preserve">Batrachochytrium </w:t>
            </w:r>
            <w:proofErr w:type="spellStart"/>
            <w:r>
              <w:rPr>
                <w:rFonts w:ascii="Arial" w:hAnsi="Arial" w:cs="Arial"/>
                <w:i/>
                <w:sz w:val="20"/>
                <w:szCs w:val="20"/>
              </w:rPr>
              <w:t>dendrobatidis</w:t>
            </w:r>
            <w:proofErr w:type="spellEnd"/>
            <w:r>
              <w:rPr>
                <w:rFonts w:ascii="Arial" w:hAnsi="Arial" w:cs="Arial"/>
                <w:i/>
                <w:sz w:val="20"/>
                <w:szCs w:val="20"/>
              </w:rPr>
              <w:t xml:space="preserve"> </w:t>
            </w:r>
            <w:r>
              <w:rPr>
                <w:rFonts w:ascii="Arial" w:hAnsi="Arial" w:cs="Arial"/>
                <w:sz w:val="20"/>
                <w:szCs w:val="20"/>
              </w:rPr>
              <w:t>which causes the disease chytridiomycosis (chytrid fungus).</w:t>
            </w:r>
          </w:p>
          <w:p w14:paraId="14527F0A" w14:textId="77777777" w:rsidR="006811B9" w:rsidRDefault="006811B9">
            <w:pPr>
              <w:numPr>
                <w:ilvl w:val="0"/>
                <w:numId w:val="34"/>
              </w:numPr>
              <w:tabs>
                <w:tab w:val="clear" w:pos="720"/>
                <w:tab w:val="num" w:pos="239"/>
              </w:tabs>
              <w:spacing w:before="0"/>
              <w:ind w:left="238" w:hanging="181"/>
              <w:rPr>
                <w:rFonts w:ascii="Arial" w:hAnsi="Arial" w:cs="Arial"/>
                <w:sz w:val="20"/>
                <w:szCs w:val="20"/>
              </w:rPr>
            </w:pPr>
            <w:r>
              <w:rPr>
                <w:rFonts w:ascii="Arial" w:hAnsi="Arial" w:cs="Arial"/>
                <w:sz w:val="20"/>
                <w:szCs w:val="20"/>
              </w:rPr>
              <w:t>Because of their semi-permeable skin, growling grass frogs may be susceptible to pollutants such as those found in biocides (that is, herbicides, pesticides etc.) or from surface runoff.</w:t>
            </w:r>
          </w:p>
        </w:tc>
      </w:tr>
      <w:tr w:rsidR="006811B9" w14:paraId="133CD346" w14:textId="77777777">
        <w:trPr>
          <w:trHeight w:val="3164"/>
        </w:trPr>
        <w:tc>
          <w:tcPr>
            <w:tcW w:w="4261" w:type="dxa"/>
          </w:tcPr>
          <w:p w14:paraId="2AD26523" w14:textId="77777777" w:rsidR="006811B9" w:rsidRDefault="006811B9">
            <w:pPr>
              <w:rPr>
                <w:rFonts w:ascii="Arial" w:hAnsi="Arial" w:cs="Arial"/>
                <w:b/>
                <w:sz w:val="20"/>
                <w:szCs w:val="20"/>
              </w:rPr>
            </w:pPr>
            <w:r>
              <w:rPr>
                <w:rFonts w:ascii="Arial" w:hAnsi="Arial" w:cs="Arial"/>
                <w:b/>
                <w:sz w:val="20"/>
                <w:szCs w:val="20"/>
              </w:rPr>
              <w:lastRenderedPageBreak/>
              <w:t xml:space="preserve">Dependent on terrestrial habitat for foraging, </w:t>
            </w:r>
            <w:proofErr w:type="gramStart"/>
            <w:r>
              <w:rPr>
                <w:rFonts w:ascii="Arial" w:hAnsi="Arial" w:cs="Arial"/>
                <w:b/>
                <w:sz w:val="20"/>
                <w:szCs w:val="20"/>
              </w:rPr>
              <w:t>shelter</w:t>
            </w:r>
            <w:proofErr w:type="gramEnd"/>
            <w:r>
              <w:rPr>
                <w:rFonts w:ascii="Arial" w:hAnsi="Arial" w:cs="Arial"/>
                <w:b/>
                <w:sz w:val="20"/>
                <w:szCs w:val="20"/>
              </w:rPr>
              <w:t xml:space="preserve"> and local movement. </w:t>
            </w:r>
          </w:p>
        </w:tc>
        <w:tc>
          <w:tcPr>
            <w:tcW w:w="4261" w:type="dxa"/>
          </w:tcPr>
          <w:p w14:paraId="647EA895" w14:textId="77777777" w:rsidR="006811B9" w:rsidRDefault="006811B9">
            <w:pPr>
              <w:numPr>
                <w:ilvl w:val="0"/>
                <w:numId w:val="35"/>
              </w:numPr>
              <w:tabs>
                <w:tab w:val="clear" w:pos="720"/>
                <w:tab w:val="num" w:pos="239"/>
              </w:tabs>
              <w:spacing w:after="0"/>
              <w:ind w:left="238" w:hanging="238"/>
              <w:rPr>
                <w:rFonts w:ascii="Arial" w:hAnsi="Arial" w:cs="Arial"/>
                <w:sz w:val="20"/>
                <w:szCs w:val="20"/>
                <w:lang w:val="en"/>
              </w:rPr>
            </w:pPr>
            <w:r>
              <w:rPr>
                <w:rFonts w:ascii="Arial" w:hAnsi="Arial" w:cs="Arial"/>
                <w:sz w:val="20"/>
                <w:szCs w:val="20"/>
                <w:lang w:val="en"/>
              </w:rPr>
              <w:t>Adult frogs move across open ground (for example grasslands) to access local foraging resources and breeding sites.</w:t>
            </w:r>
          </w:p>
          <w:p w14:paraId="6A165729" w14:textId="77777777" w:rsidR="006811B9" w:rsidRDefault="006811B9">
            <w:pPr>
              <w:numPr>
                <w:ilvl w:val="0"/>
                <w:numId w:val="35"/>
              </w:numPr>
              <w:tabs>
                <w:tab w:val="clear" w:pos="720"/>
                <w:tab w:val="num" w:pos="239"/>
              </w:tabs>
              <w:spacing w:before="0" w:after="0"/>
              <w:ind w:left="238" w:hanging="238"/>
              <w:rPr>
                <w:rFonts w:ascii="Arial" w:hAnsi="Arial" w:cs="Arial"/>
                <w:sz w:val="20"/>
                <w:szCs w:val="20"/>
              </w:rPr>
            </w:pPr>
            <w:r>
              <w:rPr>
                <w:rFonts w:ascii="Arial" w:hAnsi="Arial" w:cs="Arial"/>
                <w:sz w:val="20"/>
                <w:szCs w:val="20"/>
              </w:rPr>
              <w:t xml:space="preserve">Terrestrial vegetation, fallen logs and ground debris surrounding water bodies provide essential shelter and hibernation (over-wintering) sites for adult frogs. </w:t>
            </w:r>
          </w:p>
          <w:p w14:paraId="761AA379" w14:textId="77777777" w:rsidR="006811B9" w:rsidRDefault="006811B9">
            <w:pPr>
              <w:numPr>
                <w:ilvl w:val="0"/>
                <w:numId w:val="35"/>
              </w:numPr>
              <w:tabs>
                <w:tab w:val="clear" w:pos="720"/>
                <w:tab w:val="num" w:pos="239"/>
              </w:tabs>
              <w:spacing w:before="0" w:after="0"/>
              <w:ind w:left="238" w:hanging="238"/>
              <w:rPr>
                <w:rFonts w:ascii="Arial" w:hAnsi="Arial" w:cs="Arial"/>
                <w:sz w:val="20"/>
                <w:szCs w:val="20"/>
              </w:rPr>
            </w:pPr>
            <w:r>
              <w:rPr>
                <w:rFonts w:ascii="Arial" w:hAnsi="Arial" w:cs="Arial"/>
                <w:sz w:val="20"/>
                <w:szCs w:val="20"/>
              </w:rPr>
              <w:t>Movement between breeding sites (water bodies) is crucial, allowing temporal variation in habitat use and/or recolonisation of sites following local extinction, and maintains genetic diversity.</w:t>
            </w:r>
          </w:p>
          <w:p w14:paraId="76FE4227" w14:textId="77777777" w:rsidR="006811B9" w:rsidRDefault="006811B9">
            <w:pPr>
              <w:spacing w:before="0"/>
              <w:rPr>
                <w:rFonts w:ascii="Arial" w:hAnsi="Arial" w:cs="Arial"/>
                <w:sz w:val="20"/>
                <w:szCs w:val="20"/>
              </w:rPr>
            </w:pPr>
          </w:p>
        </w:tc>
      </w:tr>
    </w:tbl>
    <w:p w14:paraId="1F81D6B5" w14:textId="77777777" w:rsidR="006811B9" w:rsidRDefault="006811B9">
      <w:pPr>
        <w:rPr>
          <w:rFonts w:ascii="Arial" w:hAnsi="Arial" w:cs="Arial"/>
        </w:rPr>
      </w:pPr>
      <w:r>
        <w:rPr>
          <w:rFonts w:ascii="Arial" w:hAnsi="Arial" w:cs="Arial"/>
        </w:rPr>
        <w:t>More information about the growling grass frog can be found in the background paper to this policy statement, located with the species profile on the Department’s SPRAT database (</w:t>
      </w:r>
      <w:hyperlink r:id="rId10" w:history="1">
        <w:r>
          <w:rPr>
            <w:rStyle w:val="Hyperlink"/>
            <w:rFonts w:ascii="Arial" w:hAnsi="Arial" w:cs="Arial"/>
          </w:rPr>
          <w:t>http://www.environment.gov.au/cgi-bin/sprat/public/sprat.pl</w:t>
        </w:r>
      </w:hyperlink>
      <w:r>
        <w:rPr>
          <w:rFonts w:ascii="Arial" w:hAnsi="Arial" w:cs="Arial"/>
        </w:rPr>
        <w:t>).</w:t>
      </w:r>
    </w:p>
    <w:p w14:paraId="5316B305" w14:textId="77777777" w:rsidR="006811B9" w:rsidRDefault="006811B9">
      <w:pPr>
        <w:rPr>
          <w:rFonts w:ascii="Arial" w:hAnsi="Arial" w:cs="Arial"/>
        </w:rPr>
      </w:pPr>
    </w:p>
    <w:p w14:paraId="28DEBBC8" w14:textId="77777777" w:rsidR="006811B9" w:rsidRDefault="006811B9">
      <w:pPr>
        <w:pStyle w:val="Heading2"/>
        <w:numPr>
          <w:ilvl w:val="0"/>
          <w:numId w:val="1"/>
        </w:numPr>
        <w:rPr>
          <w:rFonts w:ascii="Arial" w:hAnsi="Arial"/>
        </w:rPr>
      </w:pPr>
      <w:r>
        <w:rPr>
          <w:rFonts w:ascii="Arial" w:hAnsi="Arial"/>
        </w:rPr>
        <w:t>Principal threats to the growling grass frog</w:t>
      </w:r>
    </w:p>
    <w:p w14:paraId="03D6AFE4" w14:textId="77777777" w:rsidR="006811B9" w:rsidRDefault="006811B9">
      <w:pPr>
        <w:rPr>
          <w:rFonts w:ascii="Arial" w:hAnsi="Arial" w:cs="Arial"/>
          <w:i/>
        </w:rPr>
      </w:pPr>
      <w:r>
        <w:rPr>
          <w:rFonts w:ascii="Arial" w:hAnsi="Arial" w:cs="Arial"/>
          <w:i/>
        </w:rPr>
        <w:t>The principal threats most relevant to judgements on significance include:</w:t>
      </w:r>
    </w:p>
    <w:tbl>
      <w:tblPr>
        <w:tblStyle w:val="TableGrid"/>
        <w:tblW w:w="0" w:type="auto"/>
        <w:tblLook w:val="01E0" w:firstRow="1" w:lastRow="1" w:firstColumn="1" w:lastColumn="1" w:noHBand="0" w:noVBand="0"/>
      </w:tblPr>
      <w:tblGrid>
        <w:gridCol w:w="4139"/>
        <w:gridCol w:w="4157"/>
      </w:tblGrid>
      <w:tr w:rsidR="006811B9" w14:paraId="4286F491" w14:textId="77777777">
        <w:tc>
          <w:tcPr>
            <w:tcW w:w="4261" w:type="dxa"/>
          </w:tcPr>
          <w:p w14:paraId="5E267533" w14:textId="77777777" w:rsidR="006811B9" w:rsidRDefault="006811B9">
            <w:pPr>
              <w:rPr>
                <w:rFonts w:ascii="Arial" w:hAnsi="Arial" w:cs="Arial"/>
                <w:b/>
                <w:sz w:val="20"/>
                <w:szCs w:val="20"/>
              </w:rPr>
            </w:pPr>
            <w:r>
              <w:rPr>
                <w:rFonts w:ascii="Arial" w:hAnsi="Arial" w:cs="Arial"/>
                <w:b/>
                <w:sz w:val="20"/>
                <w:szCs w:val="20"/>
              </w:rPr>
              <w:t xml:space="preserve">Habitat loss, </w:t>
            </w:r>
            <w:proofErr w:type="gramStart"/>
            <w:r>
              <w:rPr>
                <w:rFonts w:ascii="Arial" w:hAnsi="Arial" w:cs="Arial"/>
                <w:b/>
                <w:sz w:val="20"/>
                <w:szCs w:val="20"/>
              </w:rPr>
              <w:t>degradation</w:t>
            </w:r>
            <w:proofErr w:type="gramEnd"/>
            <w:r>
              <w:rPr>
                <w:rFonts w:ascii="Arial" w:hAnsi="Arial" w:cs="Arial"/>
                <w:b/>
                <w:sz w:val="20"/>
                <w:szCs w:val="20"/>
              </w:rPr>
              <w:t xml:space="preserve"> and modification</w:t>
            </w:r>
          </w:p>
        </w:tc>
        <w:tc>
          <w:tcPr>
            <w:tcW w:w="4261" w:type="dxa"/>
          </w:tcPr>
          <w:p w14:paraId="046B0849" w14:textId="77777777" w:rsidR="006811B9" w:rsidRDefault="006811B9">
            <w:pPr>
              <w:numPr>
                <w:ilvl w:val="0"/>
                <w:numId w:val="11"/>
              </w:numPr>
              <w:tabs>
                <w:tab w:val="clear" w:pos="720"/>
                <w:tab w:val="num" w:pos="239"/>
              </w:tabs>
              <w:spacing w:after="0"/>
              <w:ind w:left="238" w:hanging="238"/>
              <w:rPr>
                <w:rFonts w:ascii="Arial" w:hAnsi="Arial" w:cs="Arial"/>
                <w:sz w:val="20"/>
                <w:szCs w:val="20"/>
              </w:rPr>
            </w:pPr>
            <w:r>
              <w:rPr>
                <w:rFonts w:ascii="Arial" w:hAnsi="Arial" w:cs="Arial"/>
                <w:sz w:val="20"/>
                <w:szCs w:val="20"/>
                <w:lang w:val="en"/>
              </w:rPr>
              <w:t>Draining, infilling or changes to flooding patterns of permanent and non-permanent water bodies, or their adjoining watercourses and surrounding vegetation.</w:t>
            </w:r>
          </w:p>
          <w:p w14:paraId="19299B6F" w14:textId="77777777" w:rsidR="006811B9" w:rsidRDefault="006811B9">
            <w:pPr>
              <w:numPr>
                <w:ilvl w:val="0"/>
                <w:numId w:val="11"/>
              </w:numPr>
              <w:tabs>
                <w:tab w:val="clear" w:pos="720"/>
                <w:tab w:val="num" w:pos="239"/>
              </w:tabs>
              <w:spacing w:before="0" w:after="0"/>
              <w:ind w:left="238" w:hanging="238"/>
              <w:rPr>
                <w:rFonts w:ascii="Arial" w:hAnsi="Arial" w:cs="Arial"/>
                <w:sz w:val="20"/>
                <w:szCs w:val="20"/>
              </w:rPr>
            </w:pPr>
            <w:r>
              <w:rPr>
                <w:rFonts w:ascii="Arial" w:hAnsi="Arial" w:cs="Arial"/>
                <w:sz w:val="20"/>
                <w:szCs w:val="20"/>
              </w:rPr>
              <w:t xml:space="preserve">Alteration of wetland hydrology, </w:t>
            </w:r>
            <w:proofErr w:type="gramStart"/>
            <w:r>
              <w:rPr>
                <w:rFonts w:ascii="Arial" w:hAnsi="Arial" w:cs="Arial"/>
                <w:sz w:val="20"/>
                <w:szCs w:val="20"/>
              </w:rPr>
              <w:t>diversity</w:t>
            </w:r>
            <w:proofErr w:type="gramEnd"/>
            <w:r>
              <w:rPr>
                <w:rFonts w:ascii="Arial" w:hAnsi="Arial" w:cs="Arial"/>
                <w:sz w:val="20"/>
                <w:szCs w:val="20"/>
              </w:rPr>
              <w:t xml:space="preserve"> and structure.</w:t>
            </w:r>
          </w:p>
          <w:p w14:paraId="6C3CACAA" w14:textId="77777777" w:rsidR="006811B9" w:rsidRDefault="006811B9">
            <w:pPr>
              <w:numPr>
                <w:ilvl w:val="0"/>
                <w:numId w:val="11"/>
              </w:numPr>
              <w:tabs>
                <w:tab w:val="clear" w:pos="720"/>
                <w:tab w:val="num" w:pos="239"/>
              </w:tabs>
              <w:spacing w:before="0" w:after="0"/>
              <w:ind w:left="238" w:hanging="238"/>
              <w:rPr>
                <w:rFonts w:ascii="Arial" w:hAnsi="Arial" w:cs="Arial"/>
                <w:sz w:val="20"/>
                <w:szCs w:val="20"/>
              </w:rPr>
            </w:pPr>
            <w:r>
              <w:rPr>
                <w:rFonts w:ascii="Arial" w:hAnsi="Arial" w:cs="Arial"/>
                <w:sz w:val="20"/>
                <w:szCs w:val="20"/>
                <w:lang w:val="en"/>
              </w:rPr>
              <w:t>Removal of aquatic vegetation.</w:t>
            </w:r>
          </w:p>
          <w:p w14:paraId="6EB8F090" w14:textId="77777777" w:rsidR="006811B9" w:rsidRDefault="006811B9">
            <w:pPr>
              <w:numPr>
                <w:ilvl w:val="0"/>
                <w:numId w:val="11"/>
              </w:numPr>
              <w:tabs>
                <w:tab w:val="clear" w:pos="720"/>
                <w:tab w:val="num" w:pos="239"/>
              </w:tabs>
              <w:spacing w:before="0" w:after="0"/>
              <w:ind w:left="238" w:hanging="238"/>
              <w:rPr>
                <w:rFonts w:ascii="Arial" w:hAnsi="Arial" w:cs="Arial"/>
                <w:sz w:val="20"/>
                <w:szCs w:val="20"/>
              </w:rPr>
            </w:pPr>
            <w:r>
              <w:rPr>
                <w:rFonts w:ascii="Arial" w:hAnsi="Arial" w:cs="Arial"/>
                <w:sz w:val="20"/>
                <w:szCs w:val="20"/>
                <w:lang w:val="en"/>
              </w:rPr>
              <w:t>Clearing of terrestrial vegetation, fallen logs and ground debris surrounding water bodies.</w:t>
            </w:r>
          </w:p>
          <w:p w14:paraId="47F1B96D" w14:textId="77777777" w:rsidR="006811B9" w:rsidRDefault="006811B9">
            <w:pPr>
              <w:numPr>
                <w:ilvl w:val="0"/>
                <w:numId w:val="11"/>
              </w:numPr>
              <w:tabs>
                <w:tab w:val="clear" w:pos="720"/>
                <w:tab w:val="num" w:pos="239"/>
              </w:tabs>
              <w:spacing w:before="0" w:after="0"/>
              <w:ind w:left="238" w:hanging="238"/>
              <w:rPr>
                <w:rFonts w:ascii="Arial" w:hAnsi="Arial" w:cs="Arial"/>
                <w:sz w:val="20"/>
                <w:szCs w:val="20"/>
              </w:rPr>
            </w:pPr>
            <w:r>
              <w:rPr>
                <w:rFonts w:ascii="Arial" w:hAnsi="Arial" w:cs="Arial"/>
                <w:sz w:val="20"/>
                <w:szCs w:val="20"/>
                <w:lang w:val="en"/>
              </w:rPr>
              <w:t>Deterioration of water quality and any introduction of pollutants and biocides.</w:t>
            </w:r>
          </w:p>
          <w:p w14:paraId="1F6360D8" w14:textId="77777777" w:rsidR="006811B9" w:rsidRDefault="006811B9">
            <w:pPr>
              <w:numPr>
                <w:ilvl w:val="0"/>
                <w:numId w:val="11"/>
              </w:numPr>
              <w:tabs>
                <w:tab w:val="clear" w:pos="720"/>
                <w:tab w:val="num" w:pos="239"/>
              </w:tabs>
              <w:spacing w:before="0"/>
              <w:ind w:left="238" w:hanging="238"/>
              <w:rPr>
                <w:rFonts w:ascii="Arial" w:hAnsi="Arial" w:cs="Arial"/>
                <w:sz w:val="20"/>
                <w:szCs w:val="20"/>
              </w:rPr>
            </w:pPr>
            <w:r>
              <w:rPr>
                <w:rFonts w:ascii="Arial" w:hAnsi="Arial" w:cs="Arial"/>
                <w:sz w:val="20"/>
                <w:szCs w:val="20"/>
                <w:lang w:val="en"/>
              </w:rPr>
              <w:t xml:space="preserve">Introduction of domestic stock or feral animals (for example rabbits, </w:t>
            </w:r>
            <w:proofErr w:type="gramStart"/>
            <w:r>
              <w:rPr>
                <w:rFonts w:ascii="Arial" w:hAnsi="Arial" w:cs="Arial"/>
                <w:sz w:val="20"/>
                <w:szCs w:val="20"/>
                <w:lang w:val="en"/>
              </w:rPr>
              <w:t>goats</w:t>
            </w:r>
            <w:proofErr w:type="gramEnd"/>
            <w:r>
              <w:rPr>
                <w:rFonts w:ascii="Arial" w:hAnsi="Arial" w:cs="Arial"/>
                <w:sz w:val="20"/>
                <w:szCs w:val="20"/>
                <w:lang w:val="en"/>
              </w:rPr>
              <w:t xml:space="preserve"> and pigs) causing damage to banks or terrestrial habitat.</w:t>
            </w:r>
          </w:p>
        </w:tc>
      </w:tr>
      <w:tr w:rsidR="006811B9" w14:paraId="45B9FC6C" w14:textId="77777777">
        <w:tc>
          <w:tcPr>
            <w:tcW w:w="4261" w:type="dxa"/>
          </w:tcPr>
          <w:p w14:paraId="4E613E0F" w14:textId="77777777" w:rsidR="006811B9" w:rsidRDefault="006811B9">
            <w:pPr>
              <w:rPr>
                <w:rFonts w:ascii="Arial" w:hAnsi="Arial" w:cs="Arial"/>
                <w:b/>
                <w:sz w:val="20"/>
                <w:szCs w:val="20"/>
              </w:rPr>
            </w:pPr>
            <w:r>
              <w:rPr>
                <w:rFonts w:ascii="Arial" w:hAnsi="Arial" w:cs="Arial"/>
                <w:b/>
                <w:sz w:val="20"/>
                <w:szCs w:val="20"/>
              </w:rPr>
              <w:t>Fragmentation and isolation of populations</w:t>
            </w:r>
          </w:p>
        </w:tc>
        <w:tc>
          <w:tcPr>
            <w:tcW w:w="4261" w:type="dxa"/>
          </w:tcPr>
          <w:p w14:paraId="0396A80F" w14:textId="77777777" w:rsidR="006811B9" w:rsidRDefault="006811B9">
            <w:pPr>
              <w:numPr>
                <w:ilvl w:val="0"/>
                <w:numId w:val="44"/>
              </w:numPr>
              <w:tabs>
                <w:tab w:val="clear" w:pos="720"/>
                <w:tab w:val="num" w:pos="239"/>
              </w:tabs>
              <w:spacing w:before="0" w:after="0"/>
              <w:ind w:left="239" w:hanging="239"/>
              <w:rPr>
                <w:rFonts w:ascii="Arial" w:hAnsi="Arial" w:cs="Arial"/>
              </w:rPr>
            </w:pPr>
            <w:r>
              <w:rPr>
                <w:rFonts w:ascii="Arial" w:hAnsi="Arial" w:cs="Arial"/>
                <w:sz w:val="20"/>
                <w:szCs w:val="20"/>
              </w:rPr>
              <w:t>Construction of barriers that limit frog movements between waterbodies (for example buildings, fences, roads, industrial estates etc.).</w:t>
            </w:r>
          </w:p>
        </w:tc>
      </w:tr>
      <w:tr w:rsidR="006811B9" w14:paraId="60E2888B" w14:textId="77777777">
        <w:tc>
          <w:tcPr>
            <w:tcW w:w="4261" w:type="dxa"/>
          </w:tcPr>
          <w:p w14:paraId="0B15A530" w14:textId="77777777" w:rsidR="006811B9" w:rsidRDefault="006811B9">
            <w:pPr>
              <w:rPr>
                <w:rFonts w:ascii="Arial" w:hAnsi="Arial" w:cs="Arial"/>
                <w:b/>
                <w:sz w:val="20"/>
                <w:szCs w:val="20"/>
              </w:rPr>
            </w:pPr>
            <w:r>
              <w:rPr>
                <w:rFonts w:ascii="Arial" w:hAnsi="Arial" w:cs="Arial"/>
                <w:b/>
                <w:sz w:val="20"/>
                <w:szCs w:val="20"/>
              </w:rPr>
              <w:t>Introduced predators and disease</w:t>
            </w:r>
          </w:p>
        </w:tc>
        <w:tc>
          <w:tcPr>
            <w:tcW w:w="4261" w:type="dxa"/>
          </w:tcPr>
          <w:p w14:paraId="586ECFC5" w14:textId="77777777" w:rsidR="006811B9" w:rsidRDefault="006811B9">
            <w:pPr>
              <w:numPr>
                <w:ilvl w:val="0"/>
                <w:numId w:val="13"/>
              </w:numPr>
              <w:tabs>
                <w:tab w:val="clear" w:pos="720"/>
                <w:tab w:val="num" w:pos="239"/>
              </w:tabs>
              <w:spacing w:before="0" w:after="0"/>
              <w:ind w:left="238" w:hanging="238"/>
              <w:rPr>
                <w:rFonts w:ascii="Arial" w:hAnsi="Arial" w:cs="Arial"/>
                <w:sz w:val="20"/>
                <w:szCs w:val="20"/>
              </w:rPr>
            </w:pPr>
            <w:r>
              <w:rPr>
                <w:rFonts w:ascii="Arial" w:hAnsi="Arial" w:cs="Arial"/>
                <w:sz w:val="20"/>
                <w:szCs w:val="20"/>
              </w:rPr>
              <w:t xml:space="preserve">Introduction of exotic fish species. </w:t>
            </w:r>
          </w:p>
          <w:p w14:paraId="2E258E49" w14:textId="77777777" w:rsidR="006811B9" w:rsidRDefault="006811B9">
            <w:pPr>
              <w:numPr>
                <w:ilvl w:val="0"/>
                <w:numId w:val="13"/>
              </w:numPr>
              <w:tabs>
                <w:tab w:val="clear" w:pos="720"/>
                <w:tab w:val="num" w:pos="239"/>
              </w:tabs>
              <w:spacing w:before="0" w:after="0"/>
              <w:ind w:left="238" w:hanging="238"/>
              <w:rPr>
                <w:rFonts w:ascii="Arial" w:hAnsi="Arial" w:cs="Arial"/>
                <w:sz w:val="20"/>
                <w:szCs w:val="20"/>
              </w:rPr>
            </w:pPr>
            <w:r>
              <w:rPr>
                <w:rFonts w:ascii="Arial" w:hAnsi="Arial" w:cs="Arial"/>
                <w:sz w:val="20"/>
                <w:szCs w:val="20"/>
              </w:rPr>
              <w:t>Introduction of feral predators such as foxes and cats.</w:t>
            </w:r>
          </w:p>
          <w:p w14:paraId="71D05890" w14:textId="77777777" w:rsidR="006811B9" w:rsidRDefault="006811B9">
            <w:pPr>
              <w:numPr>
                <w:ilvl w:val="0"/>
                <w:numId w:val="13"/>
              </w:numPr>
              <w:tabs>
                <w:tab w:val="clear" w:pos="720"/>
                <w:tab w:val="num" w:pos="239"/>
              </w:tabs>
              <w:spacing w:before="0"/>
              <w:ind w:left="238" w:hanging="238"/>
              <w:rPr>
                <w:rFonts w:ascii="Arial" w:hAnsi="Arial" w:cs="Arial"/>
              </w:rPr>
            </w:pPr>
            <w:r>
              <w:rPr>
                <w:rFonts w:ascii="Arial" w:hAnsi="Arial" w:cs="Arial"/>
                <w:sz w:val="20"/>
                <w:szCs w:val="20"/>
              </w:rPr>
              <w:t xml:space="preserve">Introduction of the waterborne chytridiomycosis disease caused by the fungal pathogen </w:t>
            </w:r>
            <w:r>
              <w:rPr>
                <w:rFonts w:ascii="Arial" w:hAnsi="Arial" w:cs="Arial"/>
                <w:i/>
                <w:sz w:val="20"/>
                <w:szCs w:val="20"/>
              </w:rPr>
              <w:t xml:space="preserve">Batrachochytrium </w:t>
            </w:r>
            <w:proofErr w:type="spellStart"/>
            <w:r>
              <w:rPr>
                <w:rFonts w:ascii="Arial" w:hAnsi="Arial" w:cs="Arial"/>
                <w:i/>
                <w:sz w:val="20"/>
                <w:szCs w:val="20"/>
              </w:rPr>
              <w:t>dendrobatidis</w:t>
            </w:r>
            <w:proofErr w:type="spellEnd"/>
            <w:r>
              <w:rPr>
                <w:rFonts w:ascii="Arial" w:hAnsi="Arial" w:cs="Arial"/>
                <w:i/>
                <w:sz w:val="20"/>
                <w:szCs w:val="20"/>
              </w:rPr>
              <w:t>.</w:t>
            </w:r>
          </w:p>
        </w:tc>
      </w:tr>
    </w:tbl>
    <w:p w14:paraId="6D9D1CA0" w14:textId="77777777" w:rsidR="006811B9" w:rsidRDefault="006811B9">
      <w:pPr>
        <w:pStyle w:val="Heading2"/>
        <w:numPr>
          <w:ilvl w:val="0"/>
          <w:numId w:val="1"/>
        </w:numPr>
        <w:rPr>
          <w:rFonts w:ascii="Arial" w:hAnsi="Arial"/>
        </w:rPr>
      </w:pPr>
      <w:r>
        <w:rPr>
          <w:rFonts w:ascii="Arial" w:hAnsi="Arial"/>
        </w:rPr>
        <w:lastRenderedPageBreak/>
        <w:t>Survey guidelines for the growling grass frog</w:t>
      </w:r>
    </w:p>
    <w:p w14:paraId="3F60280D" w14:textId="77777777" w:rsidR="006811B9" w:rsidRDefault="006811B9">
      <w:pPr>
        <w:rPr>
          <w:rFonts w:ascii="Arial" w:hAnsi="Arial" w:cs="Arial"/>
        </w:rPr>
      </w:pPr>
      <w:r>
        <w:rPr>
          <w:rFonts w:ascii="Arial" w:hAnsi="Arial" w:cs="Arial"/>
        </w:rPr>
        <w:t>A guide to conducting surveys for the growling grass frog is outlined below. Surveys should:</w:t>
      </w:r>
    </w:p>
    <w:p w14:paraId="66ED535C"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 xml:space="preserve">maximise the chance of detecting the </w:t>
      </w:r>
      <w:proofErr w:type="gramStart"/>
      <w:r>
        <w:rPr>
          <w:rFonts w:ascii="Arial" w:hAnsi="Arial" w:cs="Arial"/>
        </w:rPr>
        <w:t>species</w:t>
      </w:r>
      <w:proofErr w:type="gramEnd"/>
    </w:p>
    <w:p w14:paraId="39A3EC0E"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determine the context of the site within the broader landscape, and</w:t>
      </w:r>
    </w:p>
    <w:p w14:paraId="60A3A3AF"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account for uncertainty and error.</w:t>
      </w:r>
    </w:p>
    <w:p w14:paraId="00CB5F2C" w14:textId="77777777" w:rsidR="006811B9" w:rsidRDefault="006811B9">
      <w:pPr>
        <w:pStyle w:val="Heading3"/>
        <w:rPr>
          <w:rFonts w:ascii="Arial" w:hAnsi="Arial"/>
        </w:rPr>
      </w:pPr>
      <w:r>
        <w:rPr>
          <w:rFonts w:ascii="Arial" w:hAnsi="Arial"/>
        </w:rPr>
        <w:t xml:space="preserve">Is the habitat suitable? </w:t>
      </w:r>
    </w:p>
    <w:p w14:paraId="150ED25C" w14:textId="77777777" w:rsidR="006811B9" w:rsidRDefault="006811B9">
      <w:pPr>
        <w:rPr>
          <w:rFonts w:ascii="Arial" w:hAnsi="Arial" w:cs="Arial"/>
        </w:rPr>
      </w:pPr>
      <w:r>
        <w:rPr>
          <w:rFonts w:ascii="Arial" w:hAnsi="Arial" w:cs="Arial"/>
        </w:rPr>
        <w:t>The following characteristics can be indicators of whether a site supports habitat that is suitable for the growling grass frog, and should be investigated prior to, or in conjunction with, surveys for the species:</w:t>
      </w:r>
    </w:p>
    <w:p w14:paraId="74A8CFD0" w14:textId="77777777" w:rsidR="006811B9" w:rsidRDefault="006811B9">
      <w:pPr>
        <w:numPr>
          <w:ilvl w:val="0"/>
          <w:numId w:val="39"/>
        </w:numPr>
        <w:spacing w:before="0" w:after="0"/>
        <w:ind w:left="714" w:hanging="357"/>
        <w:rPr>
          <w:rFonts w:ascii="Arial" w:hAnsi="Arial" w:cs="Arial"/>
        </w:rPr>
      </w:pPr>
      <w:r>
        <w:rPr>
          <w:rFonts w:ascii="Arial" w:hAnsi="Arial" w:cs="Arial"/>
        </w:rPr>
        <w:t xml:space="preserve">presence of water bodies, including slow flowing streams and rivers, or off-stream wetlands, which contain water at least </w:t>
      </w:r>
      <w:proofErr w:type="gramStart"/>
      <w:r>
        <w:rPr>
          <w:rFonts w:ascii="Arial" w:hAnsi="Arial" w:cs="Arial"/>
        </w:rPr>
        <w:t>periodically</w:t>
      </w:r>
      <w:proofErr w:type="gramEnd"/>
    </w:p>
    <w:p w14:paraId="0B395358" w14:textId="77777777" w:rsidR="006811B9" w:rsidRDefault="006811B9">
      <w:pPr>
        <w:numPr>
          <w:ilvl w:val="0"/>
          <w:numId w:val="43"/>
        </w:numPr>
        <w:spacing w:before="0" w:after="0"/>
        <w:ind w:left="714" w:right="-874" w:hanging="357"/>
        <w:rPr>
          <w:rFonts w:ascii="Arial" w:hAnsi="Arial" w:cs="Arial"/>
        </w:rPr>
      </w:pPr>
      <w:r>
        <w:rPr>
          <w:rFonts w:ascii="Arial" w:hAnsi="Arial" w:cs="Arial"/>
        </w:rPr>
        <w:t>records of growling grass frogs in the local area/catchment, and</w:t>
      </w:r>
    </w:p>
    <w:p w14:paraId="313EFAB6" w14:textId="77777777" w:rsidR="006811B9" w:rsidRDefault="006811B9">
      <w:pPr>
        <w:numPr>
          <w:ilvl w:val="0"/>
          <w:numId w:val="41"/>
        </w:numPr>
        <w:spacing w:before="0" w:after="0"/>
        <w:ind w:left="714" w:hanging="357"/>
        <w:rPr>
          <w:rFonts w:ascii="Arial" w:hAnsi="Arial" w:cs="Arial"/>
        </w:rPr>
      </w:pPr>
      <w:r>
        <w:rPr>
          <w:rFonts w:ascii="Arial" w:hAnsi="Arial" w:cs="Arial"/>
        </w:rPr>
        <w:t>presence of other frog species.</w:t>
      </w:r>
    </w:p>
    <w:p w14:paraId="5824E43E" w14:textId="7D742753" w:rsidR="006811B9" w:rsidRDefault="00F04F26">
      <w:pPr>
        <w:pStyle w:val="Heading3"/>
        <w:rPr>
          <w:rFonts w:ascii="Arial" w:hAnsi="Arial"/>
        </w:rPr>
      </w:pPr>
      <w:r>
        <w:rPr>
          <w:noProof/>
        </w:rPr>
        <mc:AlternateContent>
          <mc:Choice Requires="wpg">
            <w:drawing>
              <wp:anchor distT="0" distB="0" distL="114300" distR="114300" simplePos="0" relativeHeight="251658240" behindDoc="0" locked="0" layoutInCell="1" allowOverlap="1" wp14:anchorId="788D8BD6" wp14:editId="127AAB4D">
                <wp:simplePos x="0" y="0"/>
                <wp:positionH relativeFrom="column">
                  <wp:posOffset>-114300</wp:posOffset>
                </wp:positionH>
                <wp:positionV relativeFrom="paragraph">
                  <wp:posOffset>200660</wp:posOffset>
                </wp:positionV>
                <wp:extent cx="5372100" cy="1369695"/>
                <wp:effectExtent l="9525" t="8890" r="9525" b="12065"/>
                <wp:wrapSquare wrapText="bothSides"/>
                <wp:docPr id="832660654" name="Group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72100" cy="1369695"/>
                          <a:chOff x="1800" y="11523"/>
                          <a:chExt cx="8460" cy="2157"/>
                        </a:xfrm>
                      </wpg:grpSpPr>
                      <wps:wsp>
                        <wps:cNvPr id="257893139" name="Text Box 3"/>
                        <wps:cNvSpPr txBox="1">
                          <a:spLocks noChangeArrowheads="1"/>
                        </wps:cNvSpPr>
                        <wps:spPr bwMode="auto">
                          <a:xfrm>
                            <a:off x="1800" y="11523"/>
                            <a:ext cx="8460" cy="2157"/>
                          </a:xfrm>
                          <a:prstGeom prst="rect">
                            <a:avLst/>
                          </a:prstGeom>
                          <a:solidFill>
                            <a:srgbClr val="C0C0C0"/>
                          </a:solidFill>
                          <a:ln w="9525">
                            <a:solidFill>
                              <a:srgbClr val="000000"/>
                            </a:solidFill>
                            <a:miter lim="800000"/>
                            <a:headEnd/>
                            <a:tailEnd/>
                          </a:ln>
                        </wps:spPr>
                        <wps:txbx>
                          <w:txbxContent>
                            <w:p w14:paraId="487348FE" w14:textId="1C6916C5" w:rsidR="006811B9" w:rsidRDefault="00F04F26">
                              <w:pPr>
                                <w:jc w:val="both"/>
                              </w:pPr>
                              <w:r>
                                <w:rPr>
                                  <w:bCs/>
                                  <w:i/>
                                  <w:noProof/>
                                </w:rPr>
                                <w:drawing>
                                  <wp:inline distT="0" distB="0" distL="0" distR="0" wp14:anchorId="72309B7B" wp14:editId="74FFC021">
                                    <wp:extent cx="1028700" cy="1028700"/>
                                    <wp:effectExtent l="0" t="0" r="0" b="0"/>
                                    <wp:docPr id="4" name="Picture 1" descr="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Sto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1100248790" name="Text Box 4"/>
                        <wps:cNvSpPr txBox="1">
                          <a:spLocks noChangeArrowheads="1"/>
                        </wps:cNvSpPr>
                        <wps:spPr bwMode="auto">
                          <a:xfrm>
                            <a:off x="3600" y="11700"/>
                            <a:ext cx="6300" cy="1800"/>
                          </a:xfrm>
                          <a:prstGeom prst="rect">
                            <a:avLst/>
                          </a:prstGeom>
                          <a:solidFill>
                            <a:srgbClr val="C0C0C0">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19DBA3" w14:textId="77777777" w:rsidR="006811B9" w:rsidRDefault="006811B9">
                              <w:pPr>
                                <w:jc w:val="both"/>
                              </w:pPr>
                              <w:r>
                                <w:rPr>
                                  <w:bCs/>
                                  <w:i/>
                                </w:rPr>
                                <w:t>When conducting surveys consideration should be given to the timing, effort, methods and area to be covered in the context of the proposed action. If surveys are conducted outside recommended periods or conditions, survey methods and effort should be adjusted to compensate for the decreased likelihood of detecting the species.</w:t>
                              </w:r>
                            </w:p>
                          </w:txbxContent>
                        </wps:txbx>
                        <wps:bodyPr rot="0" vert="horz" wrap="square" lIns="91440" tIns="0" rIns="9144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8D8BD6" id="Group 2" o:spid="_x0000_s1026" alt="&quot;&quot;" style="position:absolute;margin-left:-9pt;margin-top:15.8pt;width:423pt;height:107.85pt;z-index:251658240" coordorigin="1800,11523" coordsize="8460,2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">
                <v:shapetype id="_x0000_t202" coordsize="21600,21600" o:spt="202" path="m,l,21600r21600,l21600,xe">
                  <v:stroke joinstyle="miter"/>
                  <v:path gradientshapeok="t" o:connecttype="rect"/>
                </v:shapetype>
                <v:shape id="Text Box 3" o:spid="_x0000_s1027" type="#_x0000_t202" style="position:absolute;left:1800;top:11523;width:8460;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" fillcolor="silver">
                  <v:textbox>
                    <w:txbxContent>
                      <w:p w14:paraId="487348FE" w14:textId="1C6916C5" w:rsidR="006811B9" w:rsidRDefault="00F04F26">
                        <w:pPr>
                          <w:jc w:val="both"/>
                        </w:pPr>
                        <w:r>
                          <w:rPr>
                            <w:bCs/>
                            <w:i/>
                            <w:noProof/>
                          </w:rPr>
                          <w:drawing>
                            <wp:inline distT="0" distB="0" distL="0" distR="0" wp14:anchorId="72309B7B" wp14:editId="74FFC021">
                              <wp:extent cx="1028700" cy="1028700"/>
                              <wp:effectExtent l="0" t="0" r="0" b="0"/>
                              <wp:docPr id="4" name="Picture 1" descr="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Sto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txbxContent>
                  </v:textbox>
                </v:shape>
                <v:shape id="Text Box 4" o:spid="_x0000_s1028" type="#_x0000_t202" style="position:absolute;left:3600;top:11700;width:6300;height:18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" fillcolor="silver" stroked="f">
                  <v:fill opacity="0"/>
                  <v:textbox inset=",0,,0">
                    <w:txbxContent>
                      <w:p w14:paraId="4419DBA3" w14:textId="77777777" w:rsidR="006811B9" w:rsidRDefault="006811B9">
                        <w:pPr>
                          <w:jc w:val="both"/>
                        </w:pPr>
                        <w:r>
                          <w:rPr>
                            <w:bCs/>
                            <w:i/>
                          </w:rPr>
                          <w:t>When conducting surveys consideration should be given to the timing, effort, methods and area to be covered in the context of the proposed action. If surveys are conducted outside recommended periods or conditions, survey methods and effort should be adjusted to compensate for the decreased likelihood of detecting the species.</w:t>
                        </w:r>
                      </w:p>
                    </w:txbxContent>
                  </v:textbox>
                </v:shape>
                <w10:wrap type="square"/>
              </v:group>
            </w:pict>
          </mc:Fallback>
        </mc:AlternateContent>
      </w:r>
      <w:r w:rsidR="006811B9">
        <w:rPr>
          <w:rFonts w:ascii="Arial" w:hAnsi="Arial"/>
        </w:rPr>
        <w:t>Survey recommendations</w:t>
      </w:r>
    </w:p>
    <w:p w14:paraId="1A550D58" w14:textId="77777777" w:rsidR="006811B9" w:rsidRDefault="006811B9">
      <w:pPr>
        <w:ind w:right="-874"/>
        <w:rPr>
          <w:rFonts w:ascii="Arial" w:hAnsi="Arial" w:cs="Arial"/>
          <w:b/>
          <w:i/>
        </w:rPr>
      </w:pPr>
      <w:r>
        <w:rPr>
          <w:rFonts w:ascii="Arial" w:hAnsi="Arial" w:cs="Arial"/>
          <w:b/>
          <w:i/>
        </w:rPr>
        <w:t xml:space="preserve">Survey guidelines for detecting the growling grass </w:t>
      </w:r>
      <w:proofErr w:type="gramStart"/>
      <w:r>
        <w:rPr>
          <w:rFonts w:ascii="Arial" w:hAnsi="Arial" w:cs="Arial"/>
          <w:b/>
          <w:i/>
        </w:rPr>
        <w:t>frog</w:t>
      </w:r>
      <w:proofErr w:type="gramEnd"/>
    </w:p>
    <w:tbl>
      <w:tblPr>
        <w:tblStyle w:val="TableGrid"/>
        <w:tblW w:w="8928" w:type="dxa"/>
        <w:tblLook w:val="01E0" w:firstRow="1" w:lastRow="1" w:firstColumn="1" w:lastColumn="1" w:noHBand="0" w:noVBand="0"/>
      </w:tblPr>
      <w:tblGrid>
        <w:gridCol w:w="2268"/>
        <w:gridCol w:w="6660"/>
      </w:tblGrid>
      <w:tr w:rsidR="006811B9" w14:paraId="67FD7630" w14:textId="77777777">
        <w:trPr>
          <w:trHeight w:val="806"/>
        </w:trPr>
        <w:tc>
          <w:tcPr>
            <w:tcW w:w="2268" w:type="dxa"/>
          </w:tcPr>
          <w:p w14:paraId="4BEDB53F" w14:textId="77777777" w:rsidR="006811B9" w:rsidRDefault="006811B9">
            <w:pPr>
              <w:ind w:right="-874"/>
              <w:rPr>
                <w:rFonts w:ascii="Arial" w:hAnsi="Arial" w:cs="Arial"/>
                <w:b/>
                <w:sz w:val="20"/>
                <w:szCs w:val="20"/>
              </w:rPr>
            </w:pPr>
            <w:r>
              <w:rPr>
                <w:rFonts w:ascii="Arial" w:hAnsi="Arial" w:cs="Arial"/>
                <w:b/>
                <w:sz w:val="20"/>
                <w:szCs w:val="20"/>
              </w:rPr>
              <w:t>Aim</w:t>
            </w:r>
          </w:p>
        </w:tc>
        <w:tc>
          <w:tcPr>
            <w:tcW w:w="6660" w:type="dxa"/>
          </w:tcPr>
          <w:p w14:paraId="794F0847" w14:textId="77777777" w:rsidR="006811B9" w:rsidRDefault="006811B9">
            <w:pPr>
              <w:rPr>
                <w:rFonts w:ascii="Arial" w:hAnsi="Arial" w:cs="Arial"/>
                <w:b/>
                <w:sz w:val="20"/>
                <w:szCs w:val="20"/>
              </w:rPr>
            </w:pPr>
            <w:r>
              <w:rPr>
                <w:rFonts w:ascii="Arial" w:hAnsi="Arial" w:cs="Arial"/>
                <w:sz w:val="20"/>
                <w:szCs w:val="20"/>
              </w:rPr>
              <w:t>To maximise the chance of detecting the growling grass frog at the local site, and in the surrounding landscape.</w:t>
            </w:r>
          </w:p>
        </w:tc>
      </w:tr>
      <w:tr w:rsidR="006811B9" w14:paraId="736C3E99" w14:textId="77777777">
        <w:trPr>
          <w:trHeight w:val="1073"/>
        </w:trPr>
        <w:tc>
          <w:tcPr>
            <w:tcW w:w="2268" w:type="dxa"/>
          </w:tcPr>
          <w:p w14:paraId="01AC0CF2" w14:textId="77777777" w:rsidR="006811B9" w:rsidRDefault="006811B9">
            <w:pPr>
              <w:ind w:right="-874"/>
              <w:rPr>
                <w:rFonts w:ascii="Arial" w:hAnsi="Arial" w:cs="Arial"/>
                <w:b/>
                <w:sz w:val="20"/>
                <w:szCs w:val="20"/>
              </w:rPr>
            </w:pPr>
            <w:r>
              <w:rPr>
                <w:rFonts w:ascii="Arial" w:hAnsi="Arial" w:cs="Arial"/>
                <w:b/>
                <w:sz w:val="20"/>
                <w:szCs w:val="20"/>
              </w:rPr>
              <w:t>Timing</w:t>
            </w:r>
          </w:p>
        </w:tc>
        <w:tc>
          <w:tcPr>
            <w:tcW w:w="6660" w:type="dxa"/>
          </w:tcPr>
          <w:p w14:paraId="40795CE8" w14:textId="77777777" w:rsidR="006811B9" w:rsidRDefault="006811B9">
            <w:pPr>
              <w:spacing w:after="0"/>
              <w:rPr>
                <w:rFonts w:ascii="Arial" w:hAnsi="Arial" w:cs="Arial"/>
                <w:sz w:val="20"/>
                <w:szCs w:val="20"/>
              </w:rPr>
            </w:pPr>
            <w:r>
              <w:rPr>
                <w:rFonts w:ascii="Arial" w:hAnsi="Arial" w:cs="Arial"/>
                <w:sz w:val="20"/>
                <w:szCs w:val="20"/>
              </w:rPr>
              <w:t>At the time of peak activity for the species*:</w:t>
            </w:r>
          </w:p>
          <w:p w14:paraId="0AEE0495" w14:textId="77777777" w:rsidR="006811B9" w:rsidRDefault="006811B9">
            <w:pPr>
              <w:spacing w:before="0" w:after="0"/>
              <w:rPr>
                <w:rFonts w:ascii="Arial" w:hAnsi="Arial" w:cs="Arial"/>
                <w:sz w:val="20"/>
                <w:szCs w:val="20"/>
              </w:rPr>
            </w:pPr>
            <w:r>
              <w:rPr>
                <w:rFonts w:ascii="Arial" w:hAnsi="Arial" w:cs="Arial"/>
                <w:b/>
                <w:sz w:val="20"/>
                <w:szCs w:val="20"/>
              </w:rPr>
              <w:t>Temperate southern regions:</w:t>
            </w:r>
            <w:r>
              <w:rPr>
                <w:rFonts w:ascii="Arial" w:hAnsi="Arial" w:cs="Arial"/>
                <w:sz w:val="20"/>
                <w:szCs w:val="20"/>
              </w:rPr>
              <w:t xml:space="preserve"> Between November - March (calling takes place primarily between November and December however the frogs may still be active until March).</w:t>
            </w:r>
          </w:p>
          <w:p w14:paraId="68327981" w14:textId="77777777" w:rsidR="006811B9" w:rsidRDefault="006811B9">
            <w:pPr>
              <w:spacing w:before="0" w:after="0"/>
              <w:rPr>
                <w:rFonts w:ascii="Arial" w:hAnsi="Arial" w:cs="Arial"/>
                <w:sz w:val="20"/>
                <w:szCs w:val="20"/>
              </w:rPr>
            </w:pPr>
            <w:r>
              <w:rPr>
                <w:rFonts w:ascii="Arial" w:hAnsi="Arial" w:cs="Arial"/>
                <w:b/>
                <w:sz w:val="20"/>
                <w:szCs w:val="20"/>
              </w:rPr>
              <w:t>Semi-arid regions:</w:t>
            </w:r>
            <w:r>
              <w:rPr>
                <w:rFonts w:ascii="Arial" w:hAnsi="Arial" w:cs="Arial"/>
                <w:sz w:val="20"/>
                <w:szCs w:val="20"/>
              </w:rPr>
              <w:t xml:space="preserve"> within one month of flooding (generally October-February).</w:t>
            </w:r>
          </w:p>
        </w:tc>
      </w:tr>
      <w:tr w:rsidR="006811B9" w14:paraId="5C41ADBD" w14:textId="77777777">
        <w:trPr>
          <w:trHeight w:val="784"/>
        </w:trPr>
        <w:tc>
          <w:tcPr>
            <w:tcW w:w="2268" w:type="dxa"/>
          </w:tcPr>
          <w:p w14:paraId="1AAA73A3" w14:textId="77777777" w:rsidR="006811B9" w:rsidRDefault="006811B9">
            <w:pPr>
              <w:ind w:right="-874"/>
              <w:rPr>
                <w:rFonts w:ascii="Arial" w:hAnsi="Arial" w:cs="Arial"/>
                <w:b/>
                <w:sz w:val="20"/>
                <w:szCs w:val="20"/>
              </w:rPr>
            </w:pPr>
            <w:r>
              <w:rPr>
                <w:rFonts w:ascii="Arial" w:hAnsi="Arial" w:cs="Arial"/>
                <w:b/>
                <w:sz w:val="20"/>
                <w:szCs w:val="20"/>
              </w:rPr>
              <w:t>Effort and methods</w:t>
            </w:r>
          </w:p>
        </w:tc>
        <w:tc>
          <w:tcPr>
            <w:tcW w:w="6660" w:type="dxa"/>
          </w:tcPr>
          <w:p w14:paraId="1822F807" w14:textId="77777777" w:rsidR="006811B9" w:rsidRDefault="006811B9">
            <w:pPr>
              <w:spacing w:after="0"/>
              <w:rPr>
                <w:rFonts w:ascii="Arial" w:hAnsi="Arial" w:cs="Arial"/>
                <w:sz w:val="20"/>
                <w:szCs w:val="20"/>
              </w:rPr>
            </w:pPr>
            <w:r>
              <w:rPr>
                <w:rFonts w:ascii="Arial" w:hAnsi="Arial" w:cs="Arial"/>
                <w:sz w:val="20"/>
                <w:szCs w:val="20"/>
              </w:rPr>
              <w:t>Over at least two nights, under suitable conditions:</w:t>
            </w:r>
          </w:p>
          <w:p w14:paraId="1091E6C8" w14:textId="77777777" w:rsidR="006811B9" w:rsidRDefault="006811B9">
            <w:pPr>
              <w:numPr>
                <w:ilvl w:val="0"/>
                <w:numId w:val="41"/>
              </w:numPr>
              <w:tabs>
                <w:tab w:val="clear" w:pos="720"/>
                <w:tab w:val="num" w:pos="252"/>
              </w:tabs>
              <w:spacing w:before="0" w:after="0"/>
              <w:ind w:left="252" w:hanging="180"/>
              <w:rPr>
                <w:rFonts w:ascii="Arial" w:hAnsi="Arial" w:cs="Arial"/>
                <w:sz w:val="20"/>
                <w:szCs w:val="20"/>
              </w:rPr>
            </w:pPr>
            <w:r>
              <w:rPr>
                <w:rFonts w:ascii="Arial" w:hAnsi="Arial" w:cs="Arial"/>
                <w:sz w:val="20"/>
                <w:szCs w:val="20"/>
              </w:rPr>
              <w:t xml:space="preserve">using a combination of call playback and </w:t>
            </w:r>
            <w:proofErr w:type="gramStart"/>
            <w:r>
              <w:rPr>
                <w:rFonts w:ascii="Arial" w:hAnsi="Arial" w:cs="Arial"/>
                <w:sz w:val="20"/>
                <w:szCs w:val="20"/>
              </w:rPr>
              <w:t>night time</w:t>
            </w:r>
            <w:proofErr w:type="gramEnd"/>
            <w:r>
              <w:rPr>
                <w:rFonts w:ascii="Arial" w:hAnsi="Arial" w:cs="Arial"/>
                <w:sz w:val="20"/>
                <w:szCs w:val="20"/>
              </w:rPr>
              <w:t xml:space="preserve"> visual encounter </w:t>
            </w:r>
          </w:p>
          <w:p w14:paraId="484F5003" w14:textId="77777777" w:rsidR="006811B9" w:rsidRDefault="006811B9">
            <w:pPr>
              <w:numPr>
                <w:ilvl w:val="0"/>
                <w:numId w:val="17"/>
              </w:numPr>
              <w:tabs>
                <w:tab w:val="clear" w:pos="720"/>
                <w:tab w:val="num" w:pos="239"/>
              </w:tabs>
              <w:spacing w:before="0" w:after="0"/>
              <w:ind w:left="252" w:hanging="661"/>
              <w:rPr>
                <w:rFonts w:ascii="Arial" w:hAnsi="Arial" w:cs="Arial"/>
                <w:sz w:val="20"/>
                <w:szCs w:val="20"/>
              </w:rPr>
            </w:pPr>
            <w:r>
              <w:rPr>
                <w:rFonts w:ascii="Arial" w:hAnsi="Arial" w:cs="Arial"/>
                <w:sz w:val="20"/>
                <w:szCs w:val="20"/>
              </w:rPr>
              <w:t>surveys (for example as per Heard et al. 2006</w:t>
            </w:r>
            <w:r>
              <w:rPr>
                <w:rStyle w:val="FootnoteReference"/>
                <w:rFonts w:ascii="Arial" w:hAnsi="Arial" w:cs="Arial"/>
              </w:rPr>
              <w:footnoteReference w:id="1"/>
            </w:r>
            <w:r>
              <w:rPr>
                <w:rFonts w:ascii="Arial" w:hAnsi="Arial" w:cs="Arial"/>
                <w:sz w:val="20"/>
                <w:szCs w:val="20"/>
              </w:rPr>
              <w:t>)</w:t>
            </w:r>
          </w:p>
          <w:p w14:paraId="25BD5643" w14:textId="77777777" w:rsidR="006811B9" w:rsidRDefault="006811B9">
            <w:pPr>
              <w:numPr>
                <w:ilvl w:val="0"/>
                <w:numId w:val="17"/>
              </w:numPr>
              <w:tabs>
                <w:tab w:val="clear" w:pos="720"/>
                <w:tab w:val="num" w:pos="252"/>
              </w:tabs>
              <w:spacing w:before="0" w:after="0"/>
              <w:ind w:left="252" w:hanging="180"/>
              <w:rPr>
                <w:rFonts w:ascii="Arial" w:hAnsi="Arial" w:cs="Arial"/>
                <w:sz w:val="20"/>
                <w:szCs w:val="20"/>
              </w:rPr>
            </w:pPr>
            <w:r>
              <w:rPr>
                <w:rFonts w:ascii="Arial" w:hAnsi="Arial" w:cs="Arial"/>
                <w:sz w:val="20"/>
                <w:szCs w:val="20"/>
              </w:rPr>
              <w:t>covering a range of stream structures, billabongs, farm ponds</w:t>
            </w:r>
          </w:p>
          <w:p w14:paraId="6BA313A4" w14:textId="77777777" w:rsidR="006811B9" w:rsidRDefault="006811B9">
            <w:pPr>
              <w:tabs>
                <w:tab w:val="num" w:pos="432"/>
              </w:tabs>
              <w:spacing w:before="0" w:after="0"/>
              <w:ind w:left="432" w:hanging="360"/>
              <w:rPr>
                <w:rFonts w:ascii="Arial" w:hAnsi="Arial" w:cs="Arial"/>
                <w:sz w:val="20"/>
                <w:szCs w:val="20"/>
              </w:rPr>
            </w:pPr>
            <w:r>
              <w:rPr>
                <w:rFonts w:ascii="Arial" w:hAnsi="Arial" w:cs="Arial"/>
                <w:sz w:val="20"/>
                <w:szCs w:val="20"/>
              </w:rPr>
              <w:t xml:space="preserve">   and dams, </w:t>
            </w:r>
            <w:proofErr w:type="gramStart"/>
            <w:r>
              <w:rPr>
                <w:rFonts w:ascii="Arial" w:hAnsi="Arial" w:cs="Arial"/>
                <w:sz w:val="20"/>
                <w:szCs w:val="20"/>
              </w:rPr>
              <w:t>swamps</w:t>
            </w:r>
            <w:proofErr w:type="gramEnd"/>
            <w:r>
              <w:rPr>
                <w:rFonts w:ascii="Arial" w:hAnsi="Arial" w:cs="Arial"/>
                <w:sz w:val="20"/>
                <w:szCs w:val="20"/>
              </w:rPr>
              <w:t xml:space="preserve"> and irrigation channels</w:t>
            </w:r>
          </w:p>
          <w:p w14:paraId="6A356978" w14:textId="77777777" w:rsidR="006811B9" w:rsidRDefault="006811B9">
            <w:pPr>
              <w:numPr>
                <w:ilvl w:val="0"/>
                <w:numId w:val="17"/>
              </w:numPr>
              <w:tabs>
                <w:tab w:val="clear" w:pos="720"/>
                <w:tab w:val="num" w:pos="239"/>
              </w:tabs>
              <w:spacing w:before="0" w:after="0"/>
              <w:ind w:hanging="661"/>
              <w:rPr>
                <w:rFonts w:ascii="Arial" w:hAnsi="Arial" w:cs="Arial"/>
                <w:sz w:val="20"/>
                <w:szCs w:val="20"/>
              </w:rPr>
            </w:pPr>
            <w:r>
              <w:rPr>
                <w:rFonts w:ascii="Arial" w:hAnsi="Arial" w:cs="Arial"/>
                <w:sz w:val="20"/>
                <w:szCs w:val="20"/>
              </w:rPr>
              <w:t xml:space="preserve">accompanied by habitat assessment, and </w:t>
            </w:r>
          </w:p>
          <w:p w14:paraId="1E1C1A34" w14:textId="77777777" w:rsidR="006811B9" w:rsidRDefault="006811B9">
            <w:pPr>
              <w:numPr>
                <w:ilvl w:val="0"/>
                <w:numId w:val="17"/>
              </w:numPr>
              <w:tabs>
                <w:tab w:val="clear" w:pos="720"/>
                <w:tab w:val="num" w:pos="239"/>
              </w:tabs>
              <w:spacing w:before="0" w:after="0"/>
              <w:ind w:hanging="661"/>
              <w:rPr>
                <w:rFonts w:ascii="Arial" w:hAnsi="Arial" w:cs="Arial"/>
                <w:sz w:val="20"/>
                <w:szCs w:val="20"/>
              </w:rPr>
            </w:pPr>
            <w:r>
              <w:rPr>
                <w:rFonts w:ascii="Arial" w:hAnsi="Arial" w:cs="Arial"/>
                <w:sz w:val="20"/>
                <w:szCs w:val="20"/>
              </w:rPr>
              <w:t xml:space="preserve">undertaken by appropriately experienced personnel. </w:t>
            </w:r>
          </w:p>
          <w:p w14:paraId="37260F2A" w14:textId="77777777" w:rsidR="006811B9" w:rsidRDefault="006811B9">
            <w:pPr>
              <w:spacing w:before="0" w:after="0"/>
              <w:ind w:left="59"/>
              <w:rPr>
                <w:rFonts w:ascii="Arial" w:hAnsi="Arial" w:cs="Arial"/>
                <w:sz w:val="20"/>
                <w:szCs w:val="20"/>
              </w:rPr>
            </w:pPr>
            <w:r>
              <w:rPr>
                <w:rFonts w:ascii="Arial" w:hAnsi="Arial" w:cs="Arial"/>
                <w:b/>
                <w:sz w:val="20"/>
                <w:szCs w:val="20"/>
              </w:rPr>
              <w:t xml:space="preserve">Important: </w:t>
            </w:r>
            <w:r>
              <w:rPr>
                <w:rFonts w:ascii="Arial" w:hAnsi="Arial" w:cs="Arial"/>
                <w:sz w:val="20"/>
                <w:szCs w:val="20"/>
              </w:rPr>
              <w:t xml:space="preserve">Chytrid fungus is readily transported between sites (for example on boots) and suitable precautionary measures must be taken </w:t>
            </w:r>
            <w:r>
              <w:rPr>
                <w:rFonts w:ascii="Arial" w:hAnsi="Arial" w:cs="Arial"/>
                <w:sz w:val="20"/>
                <w:szCs w:val="20"/>
              </w:rPr>
              <w:lastRenderedPageBreak/>
              <w:t xml:space="preserve">whilst surveying. Please see the </w:t>
            </w:r>
            <w:hyperlink r:id="rId12" w:history="1">
              <w:r>
                <w:rPr>
                  <w:rStyle w:val="Hyperlink"/>
                  <w:rFonts w:ascii="Arial" w:hAnsi="Arial" w:cs="Arial"/>
                  <w:sz w:val="20"/>
                  <w:szCs w:val="20"/>
                </w:rPr>
                <w:t>threat abatement plan</w:t>
              </w:r>
            </w:hyperlink>
            <w:r>
              <w:rPr>
                <w:rFonts w:ascii="Arial" w:hAnsi="Arial" w:cs="Arial"/>
                <w:sz w:val="20"/>
                <w:szCs w:val="20"/>
              </w:rPr>
              <w:t xml:space="preserve"> for chytrid fungus and/or refer to relevant state publications. </w:t>
            </w:r>
          </w:p>
          <w:p w14:paraId="4A2082AB" w14:textId="77777777" w:rsidR="006811B9" w:rsidRDefault="006811B9">
            <w:pPr>
              <w:spacing w:before="0" w:after="0"/>
              <w:rPr>
                <w:rFonts w:ascii="Arial" w:hAnsi="Arial" w:cs="Arial"/>
                <w:sz w:val="20"/>
                <w:szCs w:val="20"/>
              </w:rPr>
            </w:pPr>
          </w:p>
        </w:tc>
      </w:tr>
      <w:tr w:rsidR="006811B9" w14:paraId="2F892E73" w14:textId="77777777">
        <w:trPr>
          <w:trHeight w:val="1606"/>
        </w:trPr>
        <w:tc>
          <w:tcPr>
            <w:tcW w:w="2268" w:type="dxa"/>
          </w:tcPr>
          <w:p w14:paraId="5EB320C6" w14:textId="77777777" w:rsidR="006811B9" w:rsidRDefault="006811B9">
            <w:pPr>
              <w:spacing w:before="0" w:after="0"/>
              <w:ind w:left="181" w:hanging="181"/>
              <w:rPr>
                <w:rFonts w:ascii="Arial" w:hAnsi="Arial" w:cs="Arial"/>
                <w:b/>
                <w:sz w:val="20"/>
                <w:szCs w:val="20"/>
              </w:rPr>
            </w:pPr>
            <w:r>
              <w:rPr>
                <w:rFonts w:ascii="Arial" w:hAnsi="Arial" w:cs="Arial"/>
                <w:b/>
                <w:sz w:val="20"/>
                <w:szCs w:val="20"/>
              </w:rPr>
              <w:lastRenderedPageBreak/>
              <w:t xml:space="preserve">Area to be </w:t>
            </w:r>
            <w:proofErr w:type="gramStart"/>
            <w:r>
              <w:rPr>
                <w:rFonts w:ascii="Arial" w:hAnsi="Arial" w:cs="Arial"/>
                <w:b/>
                <w:sz w:val="20"/>
                <w:szCs w:val="20"/>
              </w:rPr>
              <w:t>covered</w:t>
            </w:r>
            <w:proofErr w:type="gramEnd"/>
          </w:p>
          <w:p w14:paraId="18FD221A" w14:textId="77777777" w:rsidR="006811B9" w:rsidRDefault="006811B9">
            <w:pPr>
              <w:spacing w:before="0" w:after="0"/>
              <w:ind w:left="181" w:hanging="181"/>
              <w:rPr>
                <w:rFonts w:ascii="Arial" w:hAnsi="Arial" w:cs="Arial"/>
                <w:b/>
                <w:sz w:val="20"/>
                <w:szCs w:val="20"/>
              </w:rPr>
            </w:pPr>
            <w:r>
              <w:rPr>
                <w:rFonts w:ascii="Arial" w:hAnsi="Arial" w:cs="Arial"/>
                <w:b/>
                <w:sz w:val="20"/>
                <w:szCs w:val="20"/>
              </w:rPr>
              <w:t xml:space="preserve"> 1) Study site, and </w:t>
            </w:r>
          </w:p>
          <w:p w14:paraId="4211EE93" w14:textId="77777777" w:rsidR="006811B9" w:rsidRDefault="006811B9">
            <w:pPr>
              <w:spacing w:before="0"/>
              <w:ind w:left="181" w:right="-874" w:hanging="181"/>
              <w:rPr>
                <w:rFonts w:ascii="Arial" w:hAnsi="Arial" w:cs="Arial"/>
                <w:b/>
                <w:sz w:val="20"/>
                <w:szCs w:val="20"/>
              </w:rPr>
            </w:pPr>
            <w:r>
              <w:rPr>
                <w:rFonts w:ascii="Arial" w:hAnsi="Arial" w:cs="Arial"/>
                <w:b/>
                <w:sz w:val="20"/>
                <w:szCs w:val="20"/>
              </w:rPr>
              <w:t xml:space="preserve"> 2) Local area</w:t>
            </w:r>
          </w:p>
        </w:tc>
        <w:tc>
          <w:tcPr>
            <w:tcW w:w="6660" w:type="dxa"/>
          </w:tcPr>
          <w:p w14:paraId="44FA60E8" w14:textId="77777777" w:rsidR="006811B9" w:rsidRDefault="006811B9">
            <w:pPr>
              <w:spacing w:before="0" w:after="0"/>
              <w:rPr>
                <w:rFonts w:ascii="Arial" w:hAnsi="Arial" w:cs="Arial"/>
                <w:sz w:val="20"/>
                <w:szCs w:val="20"/>
              </w:rPr>
            </w:pPr>
            <w:r>
              <w:rPr>
                <w:rFonts w:ascii="Arial" w:hAnsi="Arial" w:cs="Arial"/>
                <w:sz w:val="20"/>
                <w:szCs w:val="20"/>
              </w:rPr>
              <w:t xml:space="preserve">1) Small water bodies (&lt;50 metres at greatest length) should be covered in a period of about one hour, including searches of banks and emergent vegetation. Larger water bodies (&gt;50 metres) should be searched by sampling subsets of the whole waterbody in a systematic manner.  </w:t>
            </w:r>
          </w:p>
          <w:p w14:paraId="54648683" w14:textId="77777777" w:rsidR="006811B9" w:rsidRDefault="006811B9">
            <w:pPr>
              <w:spacing w:before="0" w:after="0"/>
              <w:ind w:left="14"/>
              <w:rPr>
                <w:rFonts w:ascii="Arial" w:hAnsi="Arial" w:cs="Arial"/>
                <w:sz w:val="20"/>
                <w:szCs w:val="20"/>
              </w:rPr>
            </w:pPr>
            <w:r>
              <w:rPr>
                <w:rFonts w:ascii="Arial" w:hAnsi="Arial" w:cs="Arial"/>
                <w:sz w:val="20"/>
                <w:szCs w:val="20"/>
              </w:rPr>
              <w:t>2) Local area studies should include waterbodies surrounding the survey area to place observations at target site in context.</w:t>
            </w:r>
          </w:p>
        </w:tc>
      </w:tr>
    </w:tbl>
    <w:p w14:paraId="3CC7C9F8" w14:textId="77777777" w:rsidR="006811B9" w:rsidRDefault="006811B9">
      <w:pPr>
        <w:rPr>
          <w:rFonts w:ascii="Arial" w:hAnsi="Arial" w:cs="Arial"/>
          <w:sz w:val="20"/>
          <w:szCs w:val="20"/>
        </w:rPr>
      </w:pPr>
      <w:r>
        <w:rPr>
          <w:rFonts w:ascii="Arial" w:hAnsi="Arial" w:cs="Arial"/>
          <w:i/>
          <w:sz w:val="20"/>
          <w:szCs w:val="20"/>
        </w:rPr>
        <w:t>*</w:t>
      </w:r>
      <w:r>
        <w:rPr>
          <w:rFonts w:ascii="Arial" w:hAnsi="Arial" w:cs="Arial"/>
          <w:sz w:val="20"/>
          <w:szCs w:val="20"/>
        </w:rPr>
        <w:t xml:space="preserve"> As the timing of the peak activity and calling varies annually and geographically, the best indicator of key survey period is the presence of active growling grass frogs at known local sites. Such reference sites should be monitored during the expected seasonal period of high frog activity and used to guide survey timing at the study site. </w:t>
      </w:r>
    </w:p>
    <w:p w14:paraId="579C00EA" w14:textId="77777777" w:rsidR="006811B9" w:rsidRDefault="006811B9">
      <w:pPr>
        <w:spacing w:before="0" w:after="0"/>
        <w:rPr>
          <w:rFonts w:ascii="Arial" w:hAnsi="Arial" w:cs="Arial"/>
        </w:rPr>
      </w:pPr>
      <w:r>
        <w:rPr>
          <w:rFonts w:ascii="Arial" w:hAnsi="Arial" w:cs="Arial"/>
        </w:rPr>
        <w:t xml:space="preserve">Research from southern </w:t>
      </w:r>
      <w:smartTag w:uri="urn:schemas-microsoft-com:office:smarttags" w:element="State">
        <w:smartTag w:uri="urn:schemas-microsoft-com:office:smarttags" w:element="place">
          <w:r>
            <w:rPr>
              <w:rFonts w:ascii="Arial" w:hAnsi="Arial" w:cs="Arial"/>
            </w:rPr>
            <w:t>Victoria</w:t>
          </w:r>
        </w:smartTag>
      </w:smartTag>
      <w:r>
        <w:rPr>
          <w:rFonts w:ascii="Arial" w:hAnsi="Arial" w:cs="Arial"/>
        </w:rPr>
        <w:t xml:space="preserve"> suggests that </w:t>
      </w:r>
      <w:proofErr w:type="gramStart"/>
      <w:r>
        <w:rPr>
          <w:rFonts w:ascii="Arial" w:hAnsi="Arial" w:cs="Arial"/>
        </w:rPr>
        <w:t>night time</w:t>
      </w:r>
      <w:proofErr w:type="gramEnd"/>
      <w:r>
        <w:rPr>
          <w:rFonts w:ascii="Arial" w:hAnsi="Arial" w:cs="Arial"/>
        </w:rPr>
        <w:t xml:space="preserve"> surveys are preferable to day time surveys and that ideal survey conditions include warm and windless nights in spring and summer (Heard et al. 2006</w:t>
      </w:r>
      <w:r>
        <w:rPr>
          <w:rStyle w:val="FootnoteReference"/>
          <w:rFonts w:ascii="Arial" w:hAnsi="Arial"/>
        </w:rPr>
        <w:footnoteReference w:customMarkFollows="1" w:id="2"/>
        <w:t>1</w:t>
      </w:r>
      <w:r>
        <w:rPr>
          <w:rFonts w:ascii="Arial" w:hAnsi="Arial" w:cs="Arial"/>
        </w:rPr>
        <w:t>):</w:t>
      </w:r>
    </w:p>
    <w:p w14:paraId="16DBF856" w14:textId="77777777" w:rsidR="006811B9" w:rsidRDefault="006811B9">
      <w:pPr>
        <w:numPr>
          <w:ilvl w:val="0"/>
          <w:numId w:val="45"/>
        </w:numPr>
        <w:tabs>
          <w:tab w:val="clear" w:pos="372"/>
          <w:tab w:val="num" w:pos="720"/>
        </w:tabs>
        <w:spacing w:before="0" w:after="0"/>
        <w:ind w:left="720"/>
        <w:rPr>
          <w:rFonts w:ascii="Arial" w:hAnsi="Arial" w:cs="Arial"/>
        </w:rPr>
      </w:pPr>
      <w:r>
        <w:rPr>
          <w:rFonts w:ascii="Arial" w:hAnsi="Arial" w:cs="Arial"/>
        </w:rPr>
        <w:t>daytime air temperatures greater than 15ºC, with moderate to no wind, and</w:t>
      </w:r>
    </w:p>
    <w:p w14:paraId="0FD2C13A" w14:textId="77777777" w:rsidR="006811B9" w:rsidRDefault="006811B9">
      <w:pPr>
        <w:numPr>
          <w:ilvl w:val="0"/>
          <w:numId w:val="45"/>
        </w:numPr>
        <w:tabs>
          <w:tab w:val="clear" w:pos="372"/>
          <w:tab w:val="num" w:pos="720"/>
        </w:tabs>
        <w:spacing w:before="0" w:after="0"/>
        <w:ind w:left="720"/>
        <w:rPr>
          <w:rFonts w:ascii="Arial" w:hAnsi="Arial" w:cs="Arial"/>
        </w:rPr>
      </w:pPr>
      <w:proofErr w:type="gramStart"/>
      <w:r>
        <w:rPr>
          <w:rFonts w:ascii="Arial" w:hAnsi="Arial" w:cs="Arial"/>
        </w:rPr>
        <w:t>night time</w:t>
      </w:r>
      <w:proofErr w:type="gramEnd"/>
      <w:r>
        <w:rPr>
          <w:rFonts w:ascii="Arial" w:hAnsi="Arial" w:cs="Arial"/>
        </w:rPr>
        <w:t xml:space="preserve"> air temperatures greater than 12ºC, with moderate to no wind.</w:t>
      </w:r>
    </w:p>
    <w:p w14:paraId="234B9A93" w14:textId="77777777" w:rsidR="006811B9" w:rsidRDefault="006811B9">
      <w:pPr>
        <w:rPr>
          <w:rFonts w:ascii="Arial" w:hAnsi="Arial" w:cs="Arial"/>
        </w:rPr>
      </w:pPr>
      <w:r>
        <w:rPr>
          <w:rFonts w:ascii="Arial" w:hAnsi="Arial" w:cs="Arial"/>
        </w:rPr>
        <w:t xml:space="preserve">See Heard et al. (2006) for further detail on survey techniques and detection probabilities for the growling grass frog. Note that Heard et al. (2006) have stressed that the detection probabilities reported are unlikely to apply over the entire growling grass frog range, and that differing survey methods and observer skill/experience could affect detection probabilities. </w:t>
      </w:r>
    </w:p>
    <w:p w14:paraId="2675BE57" w14:textId="77777777" w:rsidR="006811B9" w:rsidRDefault="006811B9">
      <w:pPr>
        <w:rPr>
          <w:rFonts w:ascii="Arial" w:hAnsi="Arial" w:cs="Arial"/>
        </w:rPr>
      </w:pPr>
      <w:r>
        <w:rPr>
          <w:rFonts w:ascii="Arial" w:hAnsi="Arial" w:cs="Arial"/>
        </w:rPr>
        <w:t xml:space="preserve">Where it is not possible to conduct surveys in the manner recommended the precautionary principle should be used, that is failure to detect the growling grass frog should not be considered indicative of its absence. </w:t>
      </w:r>
    </w:p>
    <w:p w14:paraId="0E13C748" w14:textId="77777777" w:rsidR="006811B9" w:rsidRDefault="006811B9">
      <w:pPr>
        <w:pStyle w:val="Heading3"/>
        <w:rPr>
          <w:rFonts w:ascii="Arial" w:hAnsi="Arial"/>
        </w:rPr>
      </w:pPr>
      <w:r>
        <w:rPr>
          <w:rFonts w:ascii="Arial" w:hAnsi="Arial"/>
        </w:rPr>
        <w:t>Habitat assessment</w:t>
      </w:r>
    </w:p>
    <w:p w14:paraId="27D0C70F" w14:textId="77777777" w:rsidR="006811B9" w:rsidRDefault="006811B9">
      <w:pPr>
        <w:ind w:right="-874"/>
        <w:rPr>
          <w:rFonts w:ascii="Arial" w:hAnsi="Arial" w:cs="Arial"/>
        </w:rPr>
      </w:pPr>
      <w:r>
        <w:rPr>
          <w:rFonts w:ascii="Arial" w:hAnsi="Arial" w:cs="Arial"/>
        </w:rPr>
        <w:t>In addition to undertaking surveys for the growling grass frog, the following questions should be asked to determine the context of the site and quality of habitat:</w:t>
      </w:r>
    </w:p>
    <w:p w14:paraId="0F71633E" w14:textId="77777777" w:rsidR="006811B9" w:rsidRDefault="006811B9">
      <w:pPr>
        <w:numPr>
          <w:ilvl w:val="0"/>
          <w:numId w:val="14"/>
        </w:numPr>
        <w:spacing w:before="0" w:after="0"/>
        <w:ind w:right="-874"/>
        <w:rPr>
          <w:rFonts w:ascii="Arial" w:hAnsi="Arial" w:cs="Arial"/>
        </w:rPr>
      </w:pPr>
      <w:r>
        <w:rPr>
          <w:rFonts w:ascii="Arial" w:hAnsi="Arial" w:cs="Arial"/>
        </w:rPr>
        <w:t>How close is the nearest water body?</w:t>
      </w:r>
    </w:p>
    <w:p w14:paraId="0BF8FE5E" w14:textId="77777777" w:rsidR="006811B9" w:rsidRDefault="006811B9">
      <w:pPr>
        <w:numPr>
          <w:ilvl w:val="1"/>
          <w:numId w:val="14"/>
        </w:numPr>
        <w:spacing w:before="0" w:after="0"/>
        <w:ind w:right="-874"/>
        <w:rPr>
          <w:rFonts w:ascii="Arial" w:hAnsi="Arial" w:cs="Arial"/>
        </w:rPr>
      </w:pPr>
      <w:r>
        <w:rPr>
          <w:rFonts w:ascii="Arial" w:hAnsi="Arial" w:cs="Arial"/>
        </w:rPr>
        <w:t>In the semi-arid zone, individuals are unlikely to move further than five kilometres between water bodies in the absence of major flood events.</w:t>
      </w:r>
    </w:p>
    <w:p w14:paraId="6A432281" w14:textId="77777777" w:rsidR="006811B9" w:rsidRDefault="006811B9">
      <w:pPr>
        <w:numPr>
          <w:ilvl w:val="1"/>
          <w:numId w:val="14"/>
        </w:numPr>
        <w:spacing w:before="0" w:after="0"/>
        <w:ind w:right="-874"/>
        <w:rPr>
          <w:rFonts w:ascii="Arial" w:hAnsi="Arial" w:cs="Arial"/>
        </w:rPr>
      </w:pPr>
      <w:r>
        <w:rPr>
          <w:rFonts w:ascii="Arial" w:hAnsi="Arial" w:cs="Arial"/>
        </w:rPr>
        <w:t>In temperate areas, individuals are unlikely to move further than one to two kilometres between water bodies.</w:t>
      </w:r>
    </w:p>
    <w:p w14:paraId="2C8F9E35" w14:textId="77777777" w:rsidR="006811B9" w:rsidRDefault="006811B9">
      <w:pPr>
        <w:numPr>
          <w:ilvl w:val="0"/>
          <w:numId w:val="14"/>
        </w:numPr>
        <w:spacing w:before="0" w:after="0"/>
        <w:ind w:right="-874"/>
        <w:rPr>
          <w:rFonts w:ascii="Arial" w:hAnsi="Arial" w:cs="Arial"/>
        </w:rPr>
      </w:pPr>
      <w:r>
        <w:rPr>
          <w:rFonts w:ascii="Arial" w:hAnsi="Arial" w:cs="Arial"/>
        </w:rPr>
        <w:t>How many water bodies occur within 10 kilometres?</w:t>
      </w:r>
    </w:p>
    <w:p w14:paraId="1CB52DF3" w14:textId="77777777" w:rsidR="006811B9" w:rsidRDefault="006811B9">
      <w:pPr>
        <w:numPr>
          <w:ilvl w:val="0"/>
          <w:numId w:val="14"/>
        </w:numPr>
        <w:spacing w:before="0" w:after="0"/>
        <w:ind w:right="-874"/>
        <w:rPr>
          <w:rFonts w:ascii="Arial" w:hAnsi="Arial" w:cs="Arial"/>
        </w:rPr>
      </w:pPr>
      <w:r>
        <w:rPr>
          <w:rFonts w:ascii="Arial" w:hAnsi="Arial" w:cs="Arial"/>
        </w:rPr>
        <w:t>Is there habitat connectivity (terrestrial or aquatic) between water bodies on site, and between water bodies on site and those on neighbouring sites?</w:t>
      </w:r>
    </w:p>
    <w:p w14:paraId="6DB07CD2" w14:textId="77777777" w:rsidR="006811B9" w:rsidRDefault="006811B9">
      <w:pPr>
        <w:pStyle w:val="Heading2"/>
        <w:numPr>
          <w:ilvl w:val="0"/>
          <w:numId w:val="1"/>
        </w:numPr>
        <w:rPr>
          <w:rFonts w:ascii="Arial" w:hAnsi="Arial"/>
        </w:rPr>
      </w:pPr>
      <w:r>
        <w:rPr>
          <w:rFonts w:ascii="Arial" w:hAnsi="Arial"/>
        </w:rPr>
        <w:lastRenderedPageBreak/>
        <w:t>What sorts of actions are likely to have a significant impact on the species?</w:t>
      </w:r>
    </w:p>
    <w:p w14:paraId="26B17150" w14:textId="77777777" w:rsidR="006811B9" w:rsidRDefault="006811B9">
      <w:pPr>
        <w:rPr>
          <w:rFonts w:ascii="Arial" w:hAnsi="Arial" w:cs="Arial"/>
        </w:rPr>
      </w:pPr>
      <w:r>
        <w:rPr>
          <w:rFonts w:ascii="Arial" w:hAnsi="Arial" w:cs="Arial"/>
        </w:rPr>
        <w:t xml:space="preserve">Significant impact judgements must be made on a </w:t>
      </w:r>
      <w:proofErr w:type="gramStart"/>
      <w:r>
        <w:rPr>
          <w:rFonts w:ascii="Arial" w:hAnsi="Arial" w:cs="Arial"/>
        </w:rPr>
        <w:t>case by case</w:t>
      </w:r>
      <w:proofErr w:type="gramEnd"/>
      <w:r>
        <w:rPr>
          <w:rFonts w:ascii="Arial" w:hAnsi="Arial" w:cs="Arial"/>
        </w:rPr>
        <w:t xml:space="preserve"> basis and with consideration for the context of the action. The potential for a significant impact on a listed threatened species will depend on the:</w:t>
      </w:r>
    </w:p>
    <w:p w14:paraId="0054C8A2" w14:textId="77777777" w:rsidR="006811B9" w:rsidRDefault="006811B9">
      <w:pPr>
        <w:numPr>
          <w:ilvl w:val="0"/>
          <w:numId w:val="6"/>
        </w:numPr>
        <w:spacing w:before="0" w:after="0"/>
        <w:rPr>
          <w:rFonts w:ascii="Arial" w:hAnsi="Arial" w:cs="Arial"/>
        </w:rPr>
      </w:pPr>
      <w:r>
        <w:rPr>
          <w:rFonts w:ascii="Arial" w:hAnsi="Arial" w:cs="Arial"/>
        </w:rPr>
        <w:t xml:space="preserve">intensity, duration, </w:t>
      </w:r>
      <w:proofErr w:type="gramStart"/>
      <w:r>
        <w:rPr>
          <w:rFonts w:ascii="Arial" w:hAnsi="Arial" w:cs="Arial"/>
        </w:rPr>
        <w:t>magnitude</w:t>
      </w:r>
      <w:proofErr w:type="gramEnd"/>
      <w:r>
        <w:rPr>
          <w:rFonts w:ascii="Arial" w:hAnsi="Arial" w:cs="Arial"/>
        </w:rPr>
        <w:t xml:space="preserve"> and geographic extent of the impact</w:t>
      </w:r>
    </w:p>
    <w:p w14:paraId="4FA195AA"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 xml:space="preserve">sensitivity, </w:t>
      </w:r>
      <w:proofErr w:type="gramStart"/>
      <w:r>
        <w:rPr>
          <w:rFonts w:ascii="Arial" w:hAnsi="Arial" w:cs="Arial"/>
        </w:rPr>
        <w:t>value</w:t>
      </w:r>
      <w:proofErr w:type="gramEnd"/>
      <w:r>
        <w:rPr>
          <w:rFonts w:ascii="Arial" w:hAnsi="Arial" w:cs="Arial"/>
        </w:rPr>
        <w:t xml:space="preserve"> and suitability of the environment on and around the site </w:t>
      </w:r>
    </w:p>
    <w:p w14:paraId="04F7780D"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 xml:space="preserve">cumulative effect of on-site, off-site, </w:t>
      </w:r>
      <w:proofErr w:type="gramStart"/>
      <w:r>
        <w:rPr>
          <w:rFonts w:ascii="Arial" w:hAnsi="Arial" w:cs="Arial"/>
        </w:rPr>
        <w:t>direct</w:t>
      </w:r>
      <w:proofErr w:type="gramEnd"/>
      <w:r>
        <w:rPr>
          <w:rFonts w:ascii="Arial" w:hAnsi="Arial" w:cs="Arial"/>
        </w:rPr>
        <w:t xml:space="preserve"> and indirect impacts, and</w:t>
      </w:r>
    </w:p>
    <w:p w14:paraId="24C52BB1"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presence of this and other matters of national environmental significance.</w:t>
      </w:r>
    </w:p>
    <w:p w14:paraId="3B29FC25" w14:textId="77777777" w:rsidR="006811B9" w:rsidRDefault="006811B9">
      <w:pPr>
        <w:rPr>
          <w:rFonts w:ascii="Arial" w:hAnsi="Arial" w:cs="Arial"/>
        </w:rPr>
      </w:pPr>
      <w:r>
        <w:rPr>
          <w:rFonts w:ascii="Arial" w:hAnsi="Arial" w:cs="Arial"/>
        </w:rPr>
        <w:t>There is a real chance or possibility of a significant impact on the species</w:t>
      </w:r>
      <w:r>
        <w:rPr>
          <w:rFonts w:ascii="Arial" w:hAnsi="Arial" w:cs="Arial"/>
          <w:color w:val="3366FF"/>
        </w:rPr>
        <w:t xml:space="preserve"> </w:t>
      </w:r>
      <w:r>
        <w:rPr>
          <w:rFonts w:ascii="Arial" w:hAnsi="Arial" w:cs="Arial"/>
        </w:rPr>
        <w:t xml:space="preserve">if the action occurs in an area which supports an important population of the growling grass frog and results in any of the following: </w:t>
      </w:r>
    </w:p>
    <w:p w14:paraId="54BADEEC" w14:textId="77777777" w:rsidR="006811B9" w:rsidRDefault="006811B9">
      <w:pPr>
        <w:pStyle w:val="Heading2"/>
        <w:rPr>
          <w:rFonts w:ascii="Arial" w:hAnsi="Arial"/>
          <w:b w:val="0"/>
          <w:i/>
        </w:rPr>
      </w:pPr>
      <w:r>
        <w:rPr>
          <w:rFonts w:ascii="Arial" w:hAnsi="Arial"/>
          <w:b w:val="0"/>
          <w:i/>
        </w:rPr>
        <w:t>Significant impact thresholds for the species: growling grass frog</w:t>
      </w:r>
      <w:r>
        <w:rPr>
          <w:rFonts w:ascii="Arial" w:hAnsi="Arial"/>
          <w:b w:val="0"/>
          <w:i/>
          <w:color w:val="3366FF"/>
        </w:rPr>
        <w:t xml:space="preserve"> </w:t>
      </w:r>
    </w:p>
    <w:tbl>
      <w:tblPr>
        <w:tblStyle w:val="TableGrid"/>
        <w:tblW w:w="0" w:type="auto"/>
        <w:tblLook w:val="01E0" w:firstRow="1" w:lastRow="1" w:firstColumn="1" w:lastColumn="1" w:noHBand="0" w:noVBand="0"/>
      </w:tblPr>
      <w:tblGrid>
        <w:gridCol w:w="2176"/>
        <w:gridCol w:w="3374"/>
        <w:gridCol w:w="2746"/>
      </w:tblGrid>
      <w:tr w:rsidR="006811B9" w14:paraId="39192513" w14:textId="77777777" w:rsidTr="001B5FC5">
        <w:tc>
          <w:tcPr>
            <w:tcW w:w="2235" w:type="dxa"/>
          </w:tcPr>
          <w:p w14:paraId="2006E884" w14:textId="77777777" w:rsidR="006811B9" w:rsidRDefault="006811B9">
            <w:pPr>
              <w:rPr>
                <w:rFonts w:ascii="Arial" w:hAnsi="Arial" w:cs="Arial"/>
                <w:b/>
                <w:sz w:val="20"/>
                <w:szCs w:val="20"/>
              </w:rPr>
            </w:pPr>
            <w:r>
              <w:rPr>
                <w:rFonts w:ascii="Arial" w:hAnsi="Arial" w:cs="Arial"/>
                <w:b/>
                <w:sz w:val="20"/>
                <w:szCs w:val="20"/>
              </w:rPr>
              <w:t>Ecological element affected</w:t>
            </w:r>
          </w:p>
        </w:tc>
        <w:tc>
          <w:tcPr>
            <w:tcW w:w="3453" w:type="dxa"/>
          </w:tcPr>
          <w:p w14:paraId="4412CF31" w14:textId="77777777" w:rsidR="006811B9" w:rsidRDefault="006811B9">
            <w:pPr>
              <w:rPr>
                <w:rFonts w:ascii="Arial" w:hAnsi="Arial" w:cs="Arial"/>
                <w:b/>
                <w:sz w:val="20"/>
                <w:szCs w:val="20"/>
              </w:rPr>
            </w:pPr>
            <w:r>
              <w:rPr>
                <w:rFonts w:ascii="Arial" w:hAnsi="Arial" w:cs="Arial"/>
                <w:b/>
                <w:sz w:val="20"/>
                <w:szCs w:val="20"/>
              </w:rPr>
              <w:t>Impact threshold</w:t>
            </w:r>
          </w:p>
        </w:tc>
        <w:tc>
          <w:tcPr>
            <w:tcW w:w="2834" w:type="dxa"/>
          </w:tcPr>
          <w:p w14:paraId="20A37055" w14:textId="77777777" w:rsidR="006811B9" w:rsidRDefault="006811B9">
            <w:pPr>
              <w:rPr>
                <w:rFonts w:ascii="Arial" w:hAnsi="Arial" w:cs="Arial"/>
                <w:b/>
                <w:sz w:val="20"/>
                <w:szCs w:val="20"/>
              </w:rPr>
            </w:pPr>
            <w:r>
              <w:rPr>
                <w:rFonts w:ascii="Arial" w:hAnsi="Arial" w:cs="Arial"/>
                <w:b/>
                <w:sz w:val="20"/>
                <w:szCs w:val="20"/>
              </w:rPr>
              <w:t>Comment</w:t>
            </w:r>
          </w:p>
        </w:tc>
      </w:tr>
      <w:tr w:rsidR="006811B9" w14:paraId="02107037" w14:textId="77777777" w:rsidTr="001B5FC5">
        <w:trPr>
          <w:trHeight w:val="4123"/>
        </w:trPr>
        <w:tc>
          <w:tcPr>
            <w:tcW w:w="2235" w:type="dxa"/>
          </w:tcPr>
          <w:p w14:paraId="14B02C96" w14:textId="77777777" w:rsidR="006811B9" w:rsidRDefault="006811B9">
            <w:pPr>
              <w:rPr>
                <w:rFonts w:ascii="Arial" w:hAnsi="Arial" w:cs="Arial"/>
                <w:sz w:val="20"/>
                <w:szCs w:val="20"/>
              </w:rPr>
            </w:pPr>
            <w:r>
              <w:rPr>
                <w:rFonts w:ascii="Arial" w:hAnsi="Arial" w:cs="Arial"/>
                <w:sz w:val="20"/>
                <w:szCs w:val="20"/>
              </w:rPr>
              <w:t>Habitat degradation in an area supporting an important population</w:t>
            </w:r>
          </w:p>
        </w:tc>
        <w:tc>
          <w:tcPr>
            <w:tcW w:w="3453" w:type="dxa"/>
          </w:tcPr>
          <w:p w14:paraId="45AB326F" w14:textId="77777777" w:rsidR="006811B9" w:rsidRDefault="006811B9">
            <w:pPr>
              <w:numPr>
                <w:ilvl w:val="0"/>
                <w:numId w:val="30"/>
              </w:numPr>
              <w:tabs>
                <w:tab w:val="clear" w:pos="720"/>
                <w:tab w:val="num" w:pos="252"/>
              </w:tabs>
              <w:spacing w:before="0" w:after="0"/>
              <w:ind w:left="252" w:hanging="181"/>
              <w:rPr>
                <w:rFonts w:ascii="Arial" w:hAnsi="Arial" w:cs="Arial"/>
                <w:sz w:val="20"/>
                <w:szCs w:val="20"/>
              </w:rPr>
            </w:pPr>
            <w:r>
              <w:rPr>
                <w:rFonts w:ascii="Arial" w:hAnsi="Arial" w:cs="Arial"/>
                <w:sz w:val="20"/>
                <w:szCs w:val="20"/>
              </w:rPr>
              <w:t xml:space="preserve">Permanent removal or degradation of terrestrial habitat (for example between ponds, drainage lines or other temporary/permanent habitat) within 200 metres of a water body in temperate regions, or 350 m of a water body in semi-arid regions, that results in the loss of dispersal or overwintering opportunities for an important population. </w:t>
            </w:r>
          </w:p>
          <w:p w14:paraId="53BAB227" w14:textId="77777777" w:rsidR="006811B9" w:rsidRDefault="006811B9">
            <w:pPr>
              <w:numPr>
                <w:ilvl w:val="0"/>
                <w:numId w:val="30"/>
              </w:numPr>
              <w:tabs>
                <w:tab w:val="clear" w:pos="720"/>
                <w:tab w:val="num" w:pos="252"/>
              </w:tabs>
              <w:spacing w:before="0" w:after="0"/>
              <w:ind w:left="252" w:hanging="181"/>
              <w:rPr>
                <w:rFonts w:ascii="Arial" w:hAnsi="Arial" w:cs="Arial"/>
                <w:sz w:val="20"/>
                <w:szCs w:val="20"/>
              </w:rPr>
            </w:pPr>
            <w:r>
              <w:rPr>
                <w:rFonts w:ascii="Arial" w:hAnsi="Arial" w:cs="Arial"/>
                <w:sz w:val="20"/>
                <w:szCs w:val="20"/>
              </w:rPr>
              <w:t xml:space="preserve">Alteration of aquatic vegetation diversity or structure that leads to a decrease in habitat quality. </w:t>
            </w:r>
          </w:p>
          <w:p w14:paraId="3C51563D" w14:textId="77777777" w:rsidR="006811B9" w:rsidRDefault="006811B9">
            <w:pPr>
              <w:numPr>
                <w:ilvl w:val="0"/>
                <w:numId w:val="11"/>
              </w:numPr>
              <w:tabs>
                <w:tab w:val="clear" w:pos="720"/>
                <w:tab w:val="num" w:pos="239"/>
              </w:tabs>
              <w:spacing w:before="0" w:after="0"/>
              <w:ind w:left="238" w:hanging="238"/>
              <w:rPr>
                <w:rFonts w:ascii="Arial" w:hAnsi="Arial" w:cs="Arial"/>
                <w:sz w:val="20"/>
                <w:szCs w:val="20"/>
              </w:rPr>
            </w:pPr>
            <w:r>
              <w:rPr>
                <w:rFonts w:ascii="Arial" w:hAnsi="Arial" w:cs="Arial"/>
                <w:sz w:val="20"/>
                <w:szCs w:val="20"/>
              </w:rPr>
              <w:t xml:space="preserve">Alteration to wetland hydrology, </w:t>
            </w:r>
            <w:proofErr w:type="gramStart"/>
            <w:r>
              <w:rPr>
                <w:rFonts w:ascii="Arial" w:hAnsi="Arial" w:cs="Arial"/>
                <w:sz w:val="20"/>
                <w:szCs w:val="20"/>
              </w:rPr>
              <w:t>diversity</w:t>
            </w:r>
            <w:proofErr w:type="gramEnd"/>
            <w:r>
              <w:rPr>
                <w:rFonts w:ascii="Arial" w:hAnsi="Arial" w:cs="Arial"/>
                <w:sz w:val="20"/>
                <w:szCs w:val="20"/>
              </w:rPr>
              <w:t xml:space="preserve"> and structure (for example any changes to timing, duration or frequency of flood events) that leads to a decrease in habitat quality.</w:t>
            </w:r>
          </w:p>
          <w:p w14:paraId="1766345C" w14:textId="77777777" w:rsidR="006811B9" w:rsidRDefault="006811B9">
            <w:pPr>
              <w:numPr>
                <w:ilvl w:val="0"/>
                <w:numId w:val="14"/>
              </w:numPr>
              <w:tabs>
                <w:tab w:val="clear" w:pos="720"/>
                <w:tab w:val="num" w:pos="252"/>
              </w:tabs>
              <w:spacing w:before="0"/>
              <w:ind w:left="255" w:hanging="181"/>
              <w:rPr>
                <w:rFonts w:ascii="Arial" w:hAnsi="Arial" w:cs="Arial"/>
                <w:sz w:val="20"/>
                <w:szCs w:val="20"/>
              </w:rPr>
            </w:pPr>
            <w:r>
              <w:rPr>
                <w:rFonts w:ascii="Arial" w:hAnsi="Arial" w:cs="Arial"/>
                <w:sz w:val="20"/>
                <w:szCs w:val="20"/>
              </w:rPr>
              <w:t>Introduction of predatory fish and/or disease agents.</w:t>
            </w:r>
          </w:p>
        </w:tc>
        <w:tc>
          <w:tcPr>
            <w:tcW w:w="2834" w:type="dxa"/>
          </w:tcPr>
          <w:p w14:paraId="46F36ADD" w14:textId="77777777" w:rsidR="006811B9" w:rsidRDefault="006811B9">
            <w:pPr>
              <w:rPr>
                <w:rFonts w:ascii="Arial" w:hAnsi="Arial" w:cs="Arial"/>
                <w:sz w:val="20"/>
                <w:szCs w:val="20"/>
              </w:rPr>
            </w:pPr>
            <w:r>
              <w:rPr>
                <w:rFonts w:ascii="Arial" w:hAnsi="Arial" w:cs="Arial"/>
                <w:sz w:val="20"/>
                <w:szCs w:val="20"/>
              </w:rPr>
              <w:t xml:space="preserve">Habitat is a connected area that supports one or more key ecological functions for this species. These functions may include, but are not limited </w:t>
            </w:r>
            <w:proofErr w:type="gramStart"/>
            <w:r>
              <w:rPr>
                <w:rFonts w:ascii="Arial" w:hAnsi="Arial" w:cs="Arial"/>
                <w:sz w:val="20"/>
                <w:szCs w:val="20"/>
              </w:rPr>
              <w:t>to:</w:t>
            </w:r>
            <w:proofErr w:type="gramEnd"/>
            <w:r>
              <w:rPr>
                <w:rFonts w:ascii="Arial" w:hAnsi="Arial" w:cs="Arial"/>
                <w:sz w:val="20"/>
                <w:szCs w:val="20"/>
              </w:rPr>
              <w:t xml:space="preserve"> foraging, breeding, dispersal, shelter. </w:t>
            </w:r>
          </w:p>
          <w:p w14:paraId="03577808" w14:textId="77777777" w:rsidR="006811B9" w:rsidRDefault="006811B9">
            <w:pPr>
              <w:rPr>
                <w:rFonts w:ascii="Arial" w:hAnsi="Arial" w:cs="Arial"/>
                <w:sz w:val="20"/>
                <w:szCs w:val="20"/>
              </w:rPr>
            </w:pPr>
            <w:r>
              <w:rPr>
                <w:rFonts w:ascii="Arial" w:hAnsi="Arial" w:cs="Arial"/>
                <w:sz w:val="20"/>
                <w:szCs w:val="20"/>
              </w:rPr>
              <w:t xml:space="preserve">Any action that results in the degradation of habitat such that the recruitment, survival or dispersal rates of an important population are lowered may have a significant impact on the species. </w:t>
            </w:r>
          </w:p>
          <w:p w14:paraId="4DA472EB" w14:textId="77777777" w:rsidR="006811B9" w:rsidRDefault="006811B9">
            <w:pPr>
              <w:spacing w:before="0" w:after="0"/>
              <w:rPr>
                <w:rFonts w:ascii="Arial" w:hAnsi="Arial" w:cs="Arial"/>
                <w:sz w:val="20"/>
                <w:szCs w:val="20"/>
              </w:rPr>
            </w:pPr>
            <w:r>
              <w:rPr>
                <w:rFonts w:ascii="Arial" w:hAnsi="Arial" w:cs="Arial"/>
                <w:sz w:val="20"/>
                <w:szCs w:val="20"/>
              </w:rPr>
              <w:t xml:space="preserve">Habitat quality </w:t>
            </w:r>
            <w:r>
              <w:rPr>
                <w:rFonts w:ascii="Arial" w:hAnsi="Arial" w:cs="Arial"/>
                <w:b/>
                <w:sz w:val="20"/>
                <w:szCs w:val="20"/>
              </w:rPr>
              <w:t>increases</w:t>
            </w:r>
            <w:r>
              <w:rPr>
                <w:rFonts w:ascii="Arial" w:hAnsi="Arial" w:cs="Arial"/>
                <w:sz w:val="20"/>
                <w:szCs w:val="20"/>
              </w:rPr>
              <w:t xml:space="preserve"> with:</w:t>
            </w:r>
          </w:p>
          <w:p w14:paraId="38D97B10" w14:textId="77777777" w:rsidR="006811B9" w:rsidRDefault="006811B9">
            <w:pPr>
              <w:numPr>
                <w:ilvl w:val="0"/>
                <w:numId w:val="14"/>
              </w:numPr>
              <w:tabs>
                <w:tab w:val="clear" w:pos="720"/>
                <w:tab w:val="num" w:pos="252"/>
              </w:tabs>
              <w:spacing w:before="0" w:after="0"/>
              <w:ind w:left="249" w:hanging="249"/>
              <w:rPr>
                <w:rFonts w:ascii="Arial" w:hAnsi="Arial" w:cs="Arial"/>
                <w:sz w:val="20"/>
                <w:szCs w:val="20"/>
              </w:rPr>
            </w:pPr>
            <w:r>
              <w:rPr>
                <w:rFonts w:ascii="Arial" w:hAnsi="Arial" w:cs="Arial"/>
                <w:sz w:val="20"/>
                <w:szCs w:val="20"/>
              </w:rPr>
              <w:t>increasing wetland area,</w:t>
            </w:r>
          </w:p>
          <w:p w14:paraId="0A52D88D" w14:textId="77777777" w:rsidR="006811B9" w:rsidRDefault="006811B9">
            <w:pPr>
              <w:numPr>
                <w:ilvl w:val="0"/>
                <w:numId w:val="14"/>
              </w:numPr>
              <w:tabs>
                <w:tab w:val="clear" w:pos="720"/>
                <w:tab w:val="num" w:pos="252"/>
              </w:tabs>
              <w:spacing w:before="0" w:after="0"/>
              <w:ind w:left="249" w:hanging="249"/>
              <w:rPr>
                <w:rFonts w:ascii="Arial" w:hAnsi="Arial" w:cs="Arial"/>
                <w:sz w:val="20"/>
                <w:szCs w:val="20"/>
              </w:rPr>
            </w:pPr>
            <w:r>
              <w:rPr>
                <w:rFonts w:ascii="Arial" w:hAnsi="Arial" w:cs="Arial"/>
                <w:sz w:val="20"/>
                <w:szCs w:val="20"/>
              </w:rPr>
              <w:t>water permanence, and</w:t>
            </w:r>
          </w:p>
          <w:p w14:paraId="274A547E" w14:textId="77777777" w:rsidR="006811B9" w:rsidRDefault="006811B9">
            <w:pPr>
              <w:numPr>
                <w:ilvl w:val="0"/>
                <w:numId w:val="14"/>
              </w:numPr>
              <w:tabs>
                <w:tab w:val="clear" w:pos="720"/>
                <w:tab w:val="num" w:pos="252"/>
              </w:tabs>
              <w:spacing w:before="0"/>
              <w:ind w:left="249" w:hanging="249"/>
              <w:rPr>
                <w:rFonts w:ascii="Arial" w:hAnsi="Arial" w:cs="Arial"/>
                <w:sz w:val="20"/>
                <w:szCs w:val="20"/>
              </w:rPr>
            </w:pPr>
            <w:r>
              <w:rPr>
                <w:rFonts w:ascii="Arial" w:hAnsi="Arial" w:cs="Arial"/>
                <w:sz w:val="20"/>
                <w:szCs w:val="20"/>
              </w:rPr>
              <w:t xml:space="preserve">aquatic vegetation cover. </w:t>
            </w:r>
          </w:p>
          <w:p w14:paraId="6998333F" w14:textId="77777777" w:rsidR="006811B9" w:rsidRDefault="006811B9">
            <w:pPr>
              <w:spacing w:before="0" w:after="0"/>
              <w:rPr>
                <w:rFonts w:ascii="Arial" w:hAnsi="Arial" w:cs="Arial"/>
                <w:sz w:val="20"/>
                <w:szCs w:val="20"/>
              </w:rPr>
            </w:pPr>
            <w:r>
              <w:rPr>
                <w:rFonts w:ascii="Arial" w:hAnsi="Arial" w:cs="Arial"/>
                <w:sz w:val="20"/>
                <w:szCs w:val="20"/>
              </w:rPr>
              <w:t xml:space="preserve">Habitat quality </w:t>
            </w:r>
            <w:r>
              <w:rPr>
                <w:rFonts w:ascii="Arial" w:hAnsi="Arial" w:cs="Arial"/>
                <w:b/>
                <w:sz w:val="20"/>
                <w:szCs w:val="20"/>
              </w:rPr>
              <w:t xml:space="preserve">decreases </w:t>
            </w:r>
            <w:r>
              <w:rPr>
                <w:rFonts w:ascii="Arial" w:hAnsi="Arial" w:cs="Arial"/>
                <w:sz w:val="20"/>
                <w:szCs w:val="20"/>
              </w:rPr>
              <w:t>with:</w:t>
            </w:r>
          </w:p>
          <w:p w14:paraId="0EF2F10D" w14:textId="77777777" w:rsidR="006811B9" w:rsidRDefault="006811B9">
            <w:pPr>
              <w:numPr>
                <w:ilvl w:val="0"/>
                <w:numId w:val="49"/>
              </w:numPr>
              <w:tabs>
                <w:tab w:val="clear" w:pos="780"/>
                <w:tab w:val="num" w:pos="252"/>
              </w:tabs>
              <w:spacing w:before="0" w:after="0"/>
              <w:ind w:left="252" w:hanging="252"/>
              <w:rPr>
                <w:rFonts w:ascii="Arial" w:hAnsi="Arial" w:cs="Arial"/>
                <w:sz w:val="20"/>
                <w:szCs w:val="20"/>
              </w:rPr>
            </w:pPr>
            <w:r>
              <w:rPr>
                <w:rFonts w:ascii="Arial" w:hAnsi="Arial" w:cs="Arial"/>
                <w:sz w:val="20"/>
                <w:szCs w:val="20"/>
              </w:rPr>
              <w:t xml:space="preserve">the degree of development in the terrestrial zone (that </w:t>
            </w:r>
            <w:proofErr w:type="gramStart"/>
            <w:r>
              <w:rPr>
                <w:rFonts w:ascii="Arial" w:hAnsi="Arial" w:cs="Arial"/>
                <w:sz w:val="20"/>
                <w:szCs w:val="20"/>
              </w:rPr>
              <w:t>is,.</w:t>
            </w:r>
            <w:proofErr w:type="gramEnd"/>
            <w:r>
              <w:rPr>
                <w:rFonts w:ascii="Arial" w:hAnsi="Arial" w:cs="Arial"/>
                <w:sz w:val="20"/>
                <w:szCs w:val="20"/>
              </w:rPr>
              <w:t xml:space="preserve"> roads, buildings etc) and </w:t>
            </w:r>
          </w:p>
          <w:p w14:paraId="19162830" w14:textId="77777777" w:rsidR="006811B9" w:rsidRDefault="006811B9">
            <w:pPr>
              <w:numPr>
                <w:ilvl w:val="0"/>
                <w:numId w:val="49"/>
              </w:numPr>
              <w:tabs>
                <w:tab w:val="clear" w:pos="780"/>
                <w:tab w:val="num" w:pos="252"/>
              </w:tabs>
              <w:spacing w:before="0" w:after="0"/>
              <w:ind w:left="252" w:hanging="252"/>
              <w:rPr>
                <w:rFonts w:ascii="Arial" w:hAnsi="Arial" w:cs="Arial"/>
                <w:sz w:val="20"/>
                <w:szCs w:val="20"/>
              </w:rPr>
            </w:pPr>
            <w:r>
              <w:rPr>
                <w:rFonts w:ascii="Arial" w:hAnsi="Arial" w:cs="Arial"/>
                <w:sz w:val="20"/>
                <w:szCs w:val="20"/>
              </w:rPr>
              <w:t>the presence of predatory fish.</w:t>
            </w:r>
          </w:p>
        </w:tc>
      </w:tr>
      <w:tr w:rsidR="006811B9" w14:paraId="2C060746" w14:textId="77777777" w:rsidTr="001B5FC5">
        <w:tc>
          <w:tcPr>
            <w:tcW w:w="2235" w:type="dxa"/>
          </w:tcPr>
          <w:p w14:paraId="4BAD98FD" w14:textId="77777777" w:rsidR="006811B9" w:rsidRDefault="006811B9">
            <w:pPr>
              <w:rPr>
                <w:rFonts w:ascii="Arial" w:hAnsi="Arial" w:cs="Arial"/>
                <w:sz w:val="20"/>
                <w:szCs w:val="20"/>
              </w:rPr>
            </w:pPr>
            <w:r>
              <w:rPr>
                <w:rFonts w:ascii="Arial" w:hAnsi="Arial" w:cs="Arial"/>
                <w:sz w:val="20"/>
                <w:szCs w:val="20"/>
              </w:rPr>
              <w:t>Isolation and fragmentation of populations</w:t>
            </w:r>
            <w:r>
              <w:rPr>
                <w:rFonts w:ascii="Arial" w:hAnsi="Arial" w:cs="Arial"/>
                <w:color w:val="3366FF"/>
                <w:sz w:val="20"/>
                <w:szCs w:val="20"/>
              </w:rPr>
              <w:t xml:space="preserve">  </w:t>
            </w:r>
          </w:p>
        </w:tc>
        <w:tc>
          <w:tcPr>
            <w:tcW w:w="3453" w:type="dxa"/>
          </w:tcPr>
          <w:p w14:paraId="5DD305CA" w14:textId="77777777" w:rsidR="006811B9" w:rsidRDefault="006811B9">
            <w:pPr>
              <w:numPr>
                <w:ilvl w:val="0"/>
                <w:numId w:val="31"/>
              </w:numPr>
              <w:tabs>
                <w:tab w:val="clear" w:pos="720"/>
                <w:tab w:val="num" w:pos="252"/>
              </w:tabs>
              <w:spacing w:after="0"/>
              <w:ind w:left="249" w:hanging="181"/>
              <w:rPr>
                <w:rFonts w:ascii="Arial" w:hAnsi="Arial" w:cs="Arial"/>
                <w:sz w:val="20"/>
                <w:szCs w:val="20"/>
              </w:rPr>
            </w:pPr>
            <w:r>
              <w:rPr>
                <w:rFonts w:ascii="Arial" w:hAnsi="Arial" w:cs="Arial"/>
                <w:sz w:val="20"/>
                <w:szCs w:val="20"/>
              </w:rPr>
              <w:t>Net reduction in the number and/or diversity of water bodies available to an important population.</w:t>
            </w:r>
          </w:p>
          <w:p w14:paraId="03920C19" w14:textId="77777777" w:rsidR="006811B9" w:rsidRDefault="006811B9">
            <w:pPr>
              <w:numPr>
                <w:ilvl w:val="0"/>
                <w:numId w:val="31"/>
              </w:numPr>
              <w:tabs>
                <w:tab w:val="clear" w:pos="720"/>
                <w:tab w:val="num" w:pos="252"/>
              </w:tabs>
              <w:spacing w:before="0" w:after="0"/>
              <w:ind w:left="249" w:hanging="181"/>
              <w:rPr>
                <w:rFonts w:ascii="Arial" w:hAnsi="Arial" w:cs="Arial"/>
                <w:sz w:val="20"/>
                <w:szCs w:val="20"/>
              </w:rPr>
            </w:pPr>
            <w:r>
              <w:rPr>
                <w:rFonts w:ascii="Arial" w:hAnsi="Arial" w:cs="Arial"/>
                <w:sz w:val="20"/>
                <w:szCs w:val="20"/>
              </w:rPr>
              <w:lastRenderedPageBreak/>
              <w:t xml:space="preserve">Removal or alteration of available terrestrial or aquatic habitat corridors (including alteration of connectivity during flood events). </w:t>
            </w:r>
          </w:p>
          <w:p w14:paraId="14E6DC46" w14:textId="77777777" w:rsidR="006811B9" w:rsidRDefault="006811B9">
            <w:pPr>
              <w:numPr>
                <w:ilvl w:val="0"/>
                <w:numId w:val="31"/>
              </w:numPr>
              <w:tabs>
                <w:tab w:val="clear" w:pos="720"/>
                <w:tab w:val="num" w:pos="252"/>
              </w:tabs>
              <w:spacing w:before="0" w:after="0"/>
              <w:ind w:left="249" w:hanging="181"/>
              <w:rPr>
                <w:rFonts w:ascii="Arial" w:hAnsi="Arial" w:cs="Arial"/>
                <w:sz w:val="20"/>
                <w:szCs w:val="20"/>
              </w:rPr>
            </w:pPr>
            <w:r>
              <w:rPr>
                <w:rFonts w:ascii="Arial" w:hAnsi="Arial" w:cs="Arial"/>
                <w:sz w:val="20"/>
                <w:szCs w:val="20"/>
              </w:rPr>
              <w:t xml:space="preserve">Construction of physical barriers to movement between water bodies, such as roads or buildings. </w:t>
            </w:r>
          </w:p>
          <w:p w14:paraId="779D1DF4" w14:textId="77777777" w:rsidR="006811B9" w:rsidRDefault="006811B9">
            <w:pPr>
              <w:ind w:hanging="181"/>
              <w:rPr>
                <w:rFonts w:ascii="Arial" w:hAnsi="Arial" w:cs="Arial"/>
                <w:sz w:val="20"/>
                <w:szCs w:val="20"/>
              </w:rPr>
            </w:pPr>
          </w:p>
          <w:p w14:paraId="61930024" w14:textId="77777777" w:rsidR="006811B9" w:rsidRDefault="006811B9">
            <w:pPr>
              <w:ind w:hanging="181"/>
              <w:rPr>
                <w:rFonts w:ascii="Arial" w:hAnsi="Arial" w:cs="Arial"/>
                <w:sz w:val="20"/>
                <w:szCs w:val="20"/>
              </w:rPr>
            </w:pPr>
          </w:p>
        </w:tc>
        <w:tc>
          <w:tcPr>
            <w:tcW w:w="2834" w:type="dxa"/>
          </w:tcPr>
          <w:p w14:paraId="5F79517F" w14:textId="77777777" w:rsidR="006811B9" w:rsidRDefault="006811B9">
            <w:pPr>
              <w:ind w:right="-120"/>
              <w:rPr>
                <w:rFonts w:ascii="Arial" w:hAnsi="Arial" w:cs="Arial"/>
                <w:sz w:val="20"/>
                <w:szCs w:val="20"/>
              </w:rPr>
            </w:pPr>
            <w:r>
              <w:rPr>
                <w:rFonts w:ascii="Arial" w:hAnsi="Arial" w:cs="Arial"/>
                <w:sz w:val="20"/>
                <w:szCs w:val="20"/>
              </w:rPr>
              <w:lastRenderedPageBreak/>
              <w:t xml:space="preserve">Habitat connectivity could be provided by a linear water body (for example a </w:t>
            </w:r>
            <w:proofErr w:type="spellStart"/>
            <w:r>
              <w:rPr>
                <w:rFonts w:ascii="Arial" w:hAnsi="Arial" w:cs="Arial"/>
                <w:sz w:val="20"/>
                <w:szCs w:val="20"/>
              </w:rPr>
              <w:t>creekline</w:t>
            </w:r>
            <w:proofErr w:type="spellEnd"/>
            <w:r>
              <w:rPr>
                <w:rFonts w:ascii="Arial" w:hAnsi="Arial" w:cs="Arial"/>
                <w:sz w:val="20"/>
                <w:szCs w:val="20"/>
              </w:rPr>
              <w:t xml:space="preserve">) or by suitable terrestrial habitat between </w:t>
            </w:r>
            <w:r>
              <w:rPr>
                <w:rFonts w:ascii="Arial" w:hAnsi="Arial" w:cs="Arial"/>
                <w:sz w:val="20"/>
                <w:szCs w:val="20"/>
              </w:rPr>
              <w:lastRenderedPageBreak/>
              <w:t xml:space="preserve">waterbodies. Individuals may use a range of terrestrial and aquatic habitats as movement corridors between water bodies, including </w:t>
            </w:r>
            <w:proofErr w:type="spellStart"/>
            <w:r>
              <w:rPr>
                <w:rFonts w:ascii="Arial" w:hAnsi="Arial" w:cs="Arial"/>
                <w:sz w:val="20"/>
                <w:szCs w:val="20"/>
              </w:rPr>
              <w:t>floodways</w:t>
            </w:r>
            <w:proofErr w:type="spellEnd"/>
            <w:r>
              <w:rPr>
                <w:rFonts w:ascii="Arial" w:hAnsi="Arial" w:cs="Arial"/>
                <w:sz w:val="20"/>
                <w:szCs w:val="20"/>
              </w:rPr>
              <w:t xml:space="preserve"> or grassy fields. </w:t>
            </w:r>
          </w:p>
          <w:p w14:paraId="4C386EF8" w14:textId="77777777" w:rsidR="006811B9" w:rsidRDefault="001B5FC5">
            <w:pPr>
              <w:rPr>
                <w:rFonts w:ascii="Arial" w:hAnsi="Arial" w:cs="Arial"/>
                <w:sz w:val="20"/>
                <w:szCs w:val="20"/>
              </w:rPr>
            </w:pPr>
            <w:r w:rsidRPr="001B5FC5">
              <w:rPr>
                <w:rFonts w:ascii="Arial" w:hAnsi="Arial" w:cs="Arial"/>
                <w:sz w:val="20"/>
                <w:szCs w:val="20"/>
              </w:rPr>
              <w:t>Any creation of barriers or destruction of habitat that impedes movement between water bodies could have a significant impact on the species.</w:t>
            </w:r>
          </w:p>
        </w:tc>
      </w:tr>
    </w:tbl>
    <w:p w14:paraId="7E51C079" w14:textId="77777777" w:rsidR="006811B9" w:rsidRDefault="006811B9">
      <w:pPr>
        <w:rPr>
          <w:rFonts w:ascii="Arial" w:hAnsi="Arial" w:cs="Arial"/>
          <w:sz w:val="20"/>
          <w:szCs w:val="20"/>
        </w:rPr>
      </w:pPr>
      <w:r>
        <w:rPr>
          <w:rFonts w:ascii="Arial" w:hAnsi="Arial" w:cs="Arial"/>
          <w:sz w:val="20"/>
          <w:szCs w:val="20"/>
        </w:rPr>
        <w:lastRenderedPageBreak/>
        <w:t>Notes:</w:t>
      </w:r>
    </w:p>
    <w:p w14:paraId="2151DD11" w14:textId="77777777" w:rsidR="006811B9" w:rsidRDefault="006811B9">
      <w:pPr>
        <w:spacing w:before="60" w:after="0"/>
        <w:ind w:right="206"/>
        <w:jc w:val="both"/>
        <w:rPr>
          <w:rFonts w:ascii="Arial" w:hAnsi="Arial" w:cs="Arial"/>
          <w:sz w:val="20"/>
          <w:szCs w:val="20"/>
        </w:rPr>
      </w:pPr>
      <w:r>
        <w:rPr>
          <w:rFonts w:ascii="Arial" w:hAnsi="Arial" w:cs="Arial"/>
          <w:sz w:val="20"/>
          <w:szCs w:val="20"/>
        </w:rPr>
        <w:t>The elements and thresholds in the table above give guidance to the level of impact that is likely to be significant for the species at a site.</w:t>
      </w:r>
      <w:r>
        <w:rPr>
          <w:rFonts w:ascii="Arial" w:hAnsi="Arial" w:cs="Arial"/>
          <w:i/>
          <w:sz w:val="20"/>
          <w:szCs w:val="20"/>
        </w:rPr>
        <w:t xml:space="preserve"> </w:t>
      </w:r>
      <w:r>
        <w:rPr>
          <w:rFonts w:ascii="Arial" w:hAnsi="Arial" w:cs="Arial"/>
          <w:sz w:val="20"/>
          <w:szCs w:val="20"/>
        </w:rPr>
        <w:t>They are not intended to be exhaustive or prescriptive, but rather to highlight the need to maintain the ecological function of the habitat area (see Section 4 of this policy statement).</w:t>
      </w:r>
    </w:p>
    <w:p w14:paraId="5C9A996F" w14:textId="77777777" w:rsidR="006811B9" w:rsidRDefault="006811B9">
      <w:pPr>
        <w:spacing w:before="60" w:after="0"/>
        <w:ind w:right="206"/>
        <w:jc w:val="both"/>
        <w:rPr>
          <w:rFonts w:ascii="Arial" w:hAnsi="Arial" w:cs="Arial"/>
          <w:sz w:val="20"/>
          <w:szCs w:val="20"/>
        </w:rPr>
      </w:pPr>
      <w:r>
        <w:rPr>
          <w:rFonts w:ascii="Arial" w:hAnsi="Arial" w:cs="Arial"/>
          <w:sz w:val="20"/>
          <w:szCs w:val="20"/>
        </w:rPr>
        <w:t xml:space="preserve">Habitat and/or populations may, and usually will, extend beyond the site boundaries. Consideration must be given to the context of the site in the broader landscape. </w:t>
      </w:r>
    </w:p>
    <w:p w14:paraId="31FD235F" w14:textId="77777777" w:rsidR="006811B9" w:rsidRDefault="006811B9">
      <w:pPr>
        <w:pStyle w:val="Heading2"/>
        <w:numPr>
          <w:ilvl w:val="0"/>
          <w:numId w:val="1"/>
        </w:numPr>
        <w:rPr>
          <w:rFonts w:ascii="Arial" w:hAnsi="Arial"/>
        </w:rPr>
      </w:pPr>
      <w:r>
        <w:rPr>
          <w:rFonts w:ascii="Arial" w:hAnsi="Arial"/>
        </w:rPr>
        <w:t>What does this mean for actions in growling grass frog habitat?</w:t>
      </w:r>
    </w:p>
    <w:p w14:paraId="5742CA81" w14:textId="77777777" w:rsidR="006811B9" w:rsidRDefault="006811B9">
      <w:pPr>
        <w:rPr>
          <w:rFonts w:ascii="Arial" w:hAnsi="Arial" w:cs="Arial"/>
        </w:rPr>
      </w:pPr>
      <w:r>
        <w:rPr>
          <w:rFonts w:ascii="Arial" w:hAnsi="Arial" w:cs="Arial"/>
        </w:rPr>
        <w:t xml:space="preserve">If you plan to undertake an action that may have a significant </w:t>
      </w:r>
      <w:proofErr w:type="gramStart"/>
      <w:r>
        <w:rPr>
          <w:rFonts w:ascii="Arial" w:hAnsi="Arial" w:cs="Arial"/>
        </w:rPr>
        <w:t>impact</w:t>
      </w:r>
      <w:proofErr w:type="gramEnd"/>
      <w:r>
        <w:rPr>
          <w:rFonts w:ascii="Arial" w:hAnsi="Arial" w:cs="Arial"/>
        </w:rPr>
        <w:t xml:space="preserve"> then you should </w:t>
      </w:r>
      <w:r>
        <w:rPr>
          <w:rFonts w:ascii="Arial" w:hAnsi="Arial" w:cs="Arial"/>
          <w:bCs/>
        </w:rPr>
        <w:t xml:space="preserve">refer the proposal </w:t>
      </w:r>
      <w:r>
        <w:rPr>
          <w:rFonts w:ascii="Arial" w:hAnsi="Arial" w:cs="Arial"/>
        </w:rPr>
        <w:t xml:space="preserve">to the Minister </w:t>
      </w:r>
      <w:r>
        <w:rPr>
          <w:rFonts w:ascii="Arial" w:hAnsi="Arial" w:cs="Arial"/>
          <w:i/>
        </w:rPr>
        <w:t>before</w:t>
      </w:r>
      <w:r>
        <w:rPr>
          <w:rFonts w:ascii="Arial" w:hAnsi="Arial" w:cs="Arial"/>
        </w:rPr>
        <w:t xml:space="preserve"> commencing the action. The Minister will decide, within 20 business days, whether assessment and approval is required under the EPBC Act. More information on referral and assessment is available at </w:t>
      </w:r>
      <w:hyperlink r:id="rId13" w:history="1">
        <w:r>
          <w:rPr>
            <w:rStyle w:val="Hyperlink"/>
            <w:rFonts w:ascii="Arial" w:hAnsi="Arial" w:cs="Arial"/>
          </w:rPr>
          <w:t>http://www.environment.gov.au/epbc/assessments/process.html</w:t>
        </w:r>
      </w:hyperlink>
      <w:r>
        <w:rPr>
          <w:rFonts w:ascii="Arial" w:hAnsi="Arial" w:cs="Arial"/>
        </w:rPr>
        <w:t>.</w:t>
      </w:r>
    </w:p>
    <w:p w14:paraId="385F8C48" w14:textId="77777777" w:rsidR="006811B9" w:rsidRDefault="006811B9">
      <w:pPr>
        <w:pStyle w:val="Heading2"/>
        <w:numPr>
          <w:ilvl w:val="0"/>
          <w:numId w:val="1"/>
        </w:numPr>
        <w:rPr>
          <w:rFonts w:ascii="Arial" w:hAnsi="Arial"/>
        </w:rPr>
      </w:pPr>
      <w:r>
        <w:rPr>
          <w:rFonts w:ascii="Arial" w:hAnsi="Arial"/>
        </w:rPr>
        <w:t xml:space="preserve">How can my action avoid having a significant impact on the growling grass frog? </w:t>
      </w:r>
    </w:p>
    <w:p w14:paraId="449582B1" w14:textId="77777777" w:rsidR="006811B9" w:rsidRDefault="006811B9">
      <w:pPr>
        <w:rPr>
          <w:rFonts w:ascii="Arial" w:hAnsi="Arial" w:cs="Arial"/>
        </w:rPr>
      </w:pPr>
      <w:r>
        <w:rPr>
          <w:rFonts w:ascii="Arial" w:hAnsi="Arial" w:cs="Arial"/>
        </w:rPr>
        <w:t>Mitigation includes all measures undertaken on the site of the action to avoid or reduce its impacts. Measures should be incorporated into the design of the action at the conceptual and planning stage(s) to:</w:t>
      </w:r>
    </w:p>
    <w:p w14:paraId="36C3A6A7"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 xml:space="preserve">reduce the level of the impact so that it is no longer </w:t>
      </w:r>
      <w:proofErr w:type="gramStart"/>
      <w:r>
        <w:rPr>
          <w:rFonts w:ascii="Arial" w:hAnsi="Arial" w:cs="Arial"/>
        </w:rPr>
        <w:t>significant</w:t>
      </w:r>
      <w:proofErr w:type="gramEnd"/>
    </w:p>
    <w:p w14:paraId="0ADD3328"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 xml:space="preserve">monitor the performance of the mitigation measures within a specified </w:t>
      </w:r>
      <w:proofErr w:type="spellStart"/>
      <w:proofErr w:type="gramStart"/>
      <w:r>
        <w:rPr>
          <w:rFonts w:ascii="Arial" w:hAnsi="Arial" w:cs="Arial"/>
        </w:rPr>
        <w:t>timeframe.For</w:t>
      </w:r>
      <w:proofErr w:type="spellEnd"/>
      <w:proofErr w:type="gramEnd"/>
      <w:r>
        <w:rPr>
          <w:rFonts w:ascii="Arial" w:hAnsi="Arial" w:cs="Arial"/>
        </w:rPr>
        <w:t xml:space="preserve"> example by using performance indicators measured at seasonally/annually nominated times, and</w:t>
      </w:r>
    </w:p>
    <w:p w14:paraId="63003AE1"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feedback into an adaptive management plan, to quickly react to any changes in performance.</w:t>
      </w:r>
    </w:p>
    <w:p w14:paraId="1ADFB02B" w14:textId="77777777" w:rsidR="006811B9" w:rsidRDefault="006811B9">
      <w:pPr>
        <w:rPr>
          <w:rFonts w:ascii="Arial" w:hAnsi="Arial" w:cs="Arial"/>
        </w:rPr>
      </w:pPr>
      <w:r>
        <w:rPr>
          <w:rFonts w:ascii="Arial" w:hAnsi="Arial" w:cs="Arial"/>
        </w:rPr>
        <w:t>Mitigation and management actions must:</w:t>
      </w:r>
    </w:p>
    <w:p w14:paraId="127620B7"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 xml:space="preserve">make avoiding impacts the priority, followed by impact </w:t>
      </w:r>
      <w:proofErr w:type="gramStart"/>
      <w:r>
        <w:rPr>
          <w:rFonts w:ascii="Arial" w:hAnsi="Arial" w:cs="Arial"/>
        </w:rPr>
        <w:t>reduction</w:t>
      </w:r>
      <w:proofErr w:type="gramEnd"/>
    </w:p>
    <w:p w14:paraId="58D1BDB5"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avoid negative impacts on other matters of national environmental significance, and</w:t>
      </w:r>
    </w:p>
    <w:p w14:paraId="0167AF8F" w14:textId="77777777" w:rsidR="006811B9" w:rsidRDefault="006811B9">
      <w:pPr>
        <w:numPr>
          <w:ilvl w:val="0"/>
          <w:numId w:val="2"/>
        </w:numPr>
        <w:autoSpaceDE w:val="0"/>
        <w:autoSpaceDN w:val="0"/>
        <w:adjustRightInd w:val="0"/>
        <w:spacing w:before="0" w:after="0"/>
        <w:rPr>
          <w:rFonts w:ascii="Arial" w:hAnsi="Arial" w:cs="Arial"/>
        </w:rPr>
      </w:pPr>
      <w:r>
        <w:rPr>
          <w:rFonts w:ascii="Arial" w:hAnsi="Arial" w:cs="Arial"/>
        </w:rPr>
        <w:t xml:space="preserve">be consistent with relevant recovery, </w:t>
      </w:r>
      <w:proofErr w:type="gramStart"/>
      <w:r>
        <w:rPr>
          <w:rFonts w:ascii="Arial" w:hAnsi="Arial" w:cs="Arial"/>
        </w:rPr>
        <w:t>conservation</w:t>
      </w:r>
      <w:proofErr w:type="gramEnd"/>
      <w:r>
        <w:rPr>
          <w:rFonts w:ascii="Arial" w:hAnsi="Arial" w:cs="Arial"/>
        </w:rPr>
        <w:t xml:space="preserve"> or action plans.</w:t>
      </w:r>
    </w:p>
    <w:p w14:paraId="01C6BC85" w14:textId="77777777" w:rsidR="006811B9" w:rsidRDefault="006811B9">
      <w:pPr>
        <w:rPr>
          <w:rFonts w:ascii="Arial" w:hAnsi="Arial" w:cs="Arial"/>
        </w:rPr>
      </w:pPr>
      <w:r>
        <w:rPr>
          <w:rFonts w:ascii="Arial" w:hAnsi="Arial" w:cs="Arial"/>
        </w:rPr>
        <w:t>The following examples may assist in minimising impacts on the growling grass frog:</w:t>
      </w:r>
    </w:p>
    <w:p w14:paraId="403AFD4E" w14:textId="77777777" w:rsidR="006811B9" w:rsidRDefault="006811B9">
      <w:pPr>
        <w:rPr>
          <w:rFonts w:ascii="Arial" w:hAnsi="Arial" w:cs="Arial"/>
          <w:i/>
        </w:rPr>
      </w:pPr>
      <w:r>
        <w:rPr>
          <w:rFonts w:ascii="Arial" w:hAnsi="Arial" w:cs="Arial"/>
          <w:i/>
        </w:rPr>
        <w:t>Avoiding impacts</w:t>
      </w:r>
    </w:p>
    <w:p w14:paraId="32146726" w14:textId="77777777" w:rsidR="006811B9" w:rsidRDefault="006811B9">
      <w:pPr>
        <w:numPr>
          <w:ilvl w:val="0"/>
          <w:numId w:val="18"/>
        </w:numPr>
        <w:tabs>
          <w:tab w:val="clear" w:pos="720"/>
          <w:tab w:val="num" w:pos="540"/>
        </w:tabs>
        <w:spacing w:after="0"/>
        <w:ind w:left="540"/>
        <w:rPr>
          <w:rFonts w:ascii="Arial" w:hAnsi="Arial" w:cs="Arial"/>
        </w:rPr>
      </w:pPr>
      <w:r>
        <w:rPr>
          <w:rFonts w:ascii="Arial" w:hAnsi="Arial" w:cs="Arial"/>
        </w:rPr>
        <w:lastRenderedPageBreak/>
        <w:t xml:space="preserve">Retain habitat known or likely to contain the growling grass </w:t>
      </w:r>
      <w:proofErr w:type="gramStart"/>
      <w:r>
        <w:rPr>
          <w:rFonts w:ascii="Arial" w:hAnsi="Arial" w:cs="Arial"/>
        </w:rPr>
        <w:t>frog, and</w:t>
      </w:r>
      <w:proofErr w:type="gramEnd"/>
      <w:r>
        <w:rPr>
          <w:rFonts w:ascii="Arial" w:hAnsi="Arial" w:cs="Arial"/>
        </w:rPr>
        <w:t xml:space="preserve"> manage for the species. </w:t>
      </w:r>
    </w:p>
    <w:p w14:paraId="53C5E4CF" w14:textId="77777777" w:rsidR="006811B9" w:rsidRDefault="006811B9">
      <w:pPr>
        <w:numPr>
          <w:ilvl w:val="0"/>
          <w:numId w:val="18"/>
        </w:numPr>
        <w:tabs>
          <w:tab w:val="clear" w:pos="720"/>
          <w:tab w:val="num" w:pos="540"/>
        </w:tabs>
        <w:spacing w:before="0" w:after="0"/>
        <w:ind w:left="540"/>
        <w:rPr>
          <w:rFonts w:ascii="Arial" w:hAnsi="Arial" w:cs="Arial"/>
        </w:rPr>
      </w:pPr>
      <w:r>
        <w:rPr>
          <w:rFonts w:ascii="Arial" w:hAnsi="Arial" w:cs="Arial"/>
        </w:rPr>
        <w:t>Retain terrestrial habitat and dispersal corridors:</w:t>
      </w:r>
    </w:p>
    <w:p w14:paraId="69E7C864" w14:textId="77777777" w:rsidR="006811B9" w:rsidRDefault="006811B9">
      <w:pPr>
        <w:numPr>
          <w:ilvl w:val="0"/>
          <w:numId w:val="19"/>
        </w:numPr>
        <w:spacing w:before="0" w:after="0"/>
        <w:rPr>
          <w:rFonts w:ascii="Arial" w:hAnsi="Arial" w:cs="Arial"/>
        </w:rPr>
      </w:pPr>
      <w:r>
        <w:rPr>
          <w:rFonts w:ascii="Arial" w:hAnsi="Arial" w:cs="Arial"/>
        </w:rPr>
        <w:t>Incorporate buffer zones of at least 200 m, and 350 m around water bodies in temperate and semi-arid zones respectively.</w:t>
      </w:r>
    </w:p>
    <w:p w14:paraId="7BFF9372" w14:textId="77777777" w:rsidR="006811B9" w:rsidRDefault="006811B9">
      <w:pPr>
        <w:numPr>
          <w:ilvl w:val="0"/>
          <w:numId w:val="19"/>
        </w:numPr>
        <w:spacing w:before="0" w:after="0"/>
        <w:ind w:left="714" w:hanging="357"/>
        <w:rPr>
          <w:rFonts w:ascii="Arial" w:hAnsi="Arial" w:cs="Arial"/>
        </w:rPr>
      </w:pPr>
      <w:r>
        <w:rPr>
          <w:rFonts w:ascii="Arial" w:hAnsi="Arial" w:cs="Arial"/>
        </w:rPr>
        <w:t>Maintain dedicated terrestrial habitat corridors, of a minimum of 100 m in width.</w:t>
      </w:r>
    </w:p>
    <w:p w14:paraId="16C86491" w14:textId="77777777" w:rsidR="006811B9" w:rsidRDefault="006811B9">
      <w:pPr>
        <w:numPr>
          <w:ilvl w:val="0"/>
          <w:numId w:val="19"/>
        </w:numPr>
        <w:spacing w:before="0"/>
        <w:ind w:left="714" w:hanging="357"/>
        <w:rPr>
          <w:rFonts w:ascii="Arial" w:hAnsi="Arial" w:cs="Arial"/>
          <w:b/>
        </w:rPr>
      </w:pPr>
      <w:r>
        <w:rPr>
          <w:rFonts w:ascii="Arial" w:hAnsi="Arial" w:cs="Arial"/>
        </w:rPr>
        <w:t>Maintain existing hydrological regimes.</w:t>
      </w:r>
    </w:p>
    <w:p w14:paraId="20C6D4BC" w14:textId="77777777" w:rsidR="006811B9" w:rsidRDefault="006811B9">
      <w:pPr>
        <w:spacing w:before="0"/>
        <w:rPr>
          <w:rFonts w:ascii="Arial" w:hAnsi="Arial" w:cs="Arial"/>
          <w:i/>
        </w:rPr>
      </w:pPr>
      <w:r>
        <w:rPr>
          <w:rFonts w:ascii="Arial" w:hAnsi="Arial" w:cs="Arial"/>
          <w:i/>
        </w:rPr>
        <w:t>Minimising impacts</w:t>
      </w:r>
    </w:p>
    <w:p w14:paraId="06DC03C5" w14:textId="77777777" w:rsidR="006811B9" w:rsidRDefault="006811B9">
      <w:pPr>
        <w:numPr>
          <w:ilvl w:val="0"/>
          <w:numId w:val="18"/>
        </w:numPr>
        <w:tabs>
          <w:tab w:val="clear" w:pos="720"/>
          <w:tab w:val="num" w:pos="540"/>
        </w:tabs>
        <w:spacing w:after="0"/>
        <w:ind w:left="540"/>
        <w:rPr>
          <w:rFonts w:ascii="Arial" w:hAnsi="Arial" w:cs="Arial"/>
        </w:rPr>
      </w:pPr>
      <w:r>
        <w:rPr>
          <w:rFonts w:ascii="Arial" w:hAnsi="Arial" w:cs="Arial"/>
        </w:rPr>
        <w:t xml:space="preserve">Maintain existing management regime if the site currently supports a breeding population of </w:t>
      </w:r>
      <w:r>
        <w:rPr>
          <w:rFonts w:ascii="Arial" w:hAnsi="Arial" w:cs="Arial"/>
          <w:i/>
        </w:rPr>
        <w:t xml:space="preserve">L. </w:t>
      </w:r>
      <w:proofErr w:type="spellStart"/>
      <w:r>
        <w:rPr>
          <w:rFonts w:ascii="Arial" w:hAnsi="Arial" w:cs="Arial"/>
          <w:i/>
        </w:rPr>
        <w:t>raniformis</w:t>
      </w:r>
      <w:proofErr w:type="spellEnd"/>
      <w:r>
        <w:rPr>
          <w:rFonts w:ascii="Arial" w:hAnsi="Arial" w:cs="Arial"/>
        </w:rPr>
        <w:t xml:space="preserve"> (for example current grazing intensity).</w:t>
      </w:r>
    </w:p>
    <w:p w14:paraId="41895D61" w14:textId="77777777" w:rsidR="006811B9" w:rsidRDefault="006811B9">
      <w:pPr>
        <w:numPr>
          <w:ilvl w:val="0"/>
          <w:numId w:val="18"/>
        </w:numPr>
        <w:tabs>
          <w:tab w:val="clear" w:pos="720"/>
          <w:tab w:val="num" w:pos="180"/>
          <w:tab w:val="num" w:pos="540"/>
        </w:tabs>
        <w:spacing w:before="0"/>
        <w:ind w:left="540"/>
        <w:rPr>
          <w:rFonts w:ascii="Arial" w:hAnsi="Arial" w:cs="Arial"/>
          <w:i/>
        </w:rPr>
      </w:pPr>
      <w:r>
        <w:rPr>
          <w:rFonts w:ascii="Arial" w:hAnsi="Arial" w:cs="Arial"/>
        </w:rPr>
        <w:t>Maintain existing water quality.</w:t>
      </w:r>
    </w:p>
    <w:p w14:paraId="4DD030A6" w14:textId="77777777" w:rsidR="006811B9" w:rsidRDefault="006811B9">
      <w:pPr>
        <w:rPr>
          <w:rFonts w:ascii="Arial" w:hAnsi="Arial" w:cs="Arial"/>
          <w:i/>
        </w:rPr>
      </w:pPr>
      <w:r>
        <w:rPr>
          <w:rFonts w:ascii="Arial" w:hAnsi="Arial" w:cs="Arial"/>
          <w:i/>
        </w:rPr>
        <w:t>Managing habitat</w:t>
      </w:r>
    </w:p>
    <w:p w14:paraId="46E7250C" w14:textId="77777777" w:rsidR="006811B9" w:rsidRDefault="006811B9">
      <w:pPr>
        <w:numPr>
          <w:ilvl w:val="0"/>
          <w:numId w:val="20"/>
        </w:numPr>
        <w:tabs>
          <w:tab w:val="clear" w:pos="720"/>
          <w:tab w:val="num" w:pos="252"/>
        </w:tabs>
        <w:spacing w:after="0"/>
        <w:ind w:left="249" w:hanging="181"/>
        <w:rPr>
          <w:rFonts w:ascii="Arial" w:hAnsi="Arial" w:cs="Arial"/>
        </w:rPr>
      </w:pPr>
      <w:r>
        <w:rPr>
          <w:rFonts w:ascii="Arial" w:hAnsi="Arial" w:cs="Arial"/>
        </w:rPr>
        <w:t xml:space="preserve">Enhance habitat </w:t>
      </w:r>
      <w:proofErr w:type="gramStart"/>
      <w:r>
        <w:rPr>
          <w:rFonts w:ascii="Arial" w:hAnsi="Arial" w:cs="Arial"/>
        </w:rPr>
        <w:t>quality</w:t>
      </w:r>
      <w:proofErr w:type="gramEnd"/>
    </w:p>
    <w:p w14:paraId="2C8527E9" w14:textId="77777777" w:rsidR="006811B9" w:rsidRDefault="006811B9">
      <w:pPr>
        <w:numPr>
          <w:ilvl w:val="0"/>
          <w:numId w:val="21"/>
        </w:numPr>
        <w:spacing w:before="0" w:after="0"/>
        <w:rPr>
          <w:rFonts w:ascii="Arial" w:hAnsi="Arial" w:cs="Arial"/>
        </w:rPr>
      </w:pPr>
      <w:r>
        <w:rPr>
          <w:rFonts w:ascii="Arial" w:hAnsi="Arial" w:cs="Arial"/>
        </w:rPr>
        <w:t xml:space="preserve">Carefully remove weeds and replace with Indigenous submergent, floating and emergent vegetation in and around water bodies. In weedy areas that support growling grass frogs, weeds need to be gradually removed and replaced by natives. Any drastic and sudden removal of weeds in areas supporting growling grass frogs is likely to have a negative effect on the species. </w:t>
      </w:r>
    </w:p>
    <w:p w14:paraId="0B58D45D" w14:textId="77777777" w:rsidR="006811B9" w:rsidRDefault="006811B9">
      <w:pPr>
        <w:numPr>
          <w:ilvl w:val="0"/>
          <w:numId w:val="21"/>
        </w:numPr>
        <w:spacing w:before="0" w:after="0"/>
        <w:rPr>
          <w:rFonts w:ascii="Arial" w:hAnsi="Arial" w:cs="Arial"/>
        </w:rPr>
      </w:pPr>
      <w:r>
        <w:rPr>
          <w:rFonts w:ascii="Arial" w:hAnsi="Arial" w:cs="Arial"/>
        </w:rPr>
        <w:t xml:space="preserve">Maintain open (unvegetated) areas within water bodies, potentially by increasing water depth in some sections. </w:t>
      </w:r>
    </w:p>
    <w:p w14:paraId="69D7A888" w14:textId="77777777" w:rsidR="006811B9" w:rsidRDefault="006811B9">
      <w:pPr>
        <w:numPr>
          <w:ilvl w:val="0"/>
          <w:numId w:val="21"/>
        </w:numPr>
        <w:spacing w:before="0" w:after="0"/>
        <w:rPr>
          <w:rFonts w:ascii="Arial" w:hAnsi="Arial" w:cs="Arial"/>
        </w:rPr>
      </w:pPr>
      <w:r>
        <w:rPr>
          <w:rFonts w:ascii="Arial" w:hAnsi="Arial" w:cs="Arial"/>
        </w:rPr>
        <w:t xml:space="preserve">Remove or manage exotic fish (for example mosquitofish, </w:t>
      </w:r>
      <w:proofErr w:type="gramStart"/>
      <w:r>
        <w:rPr>
          <w:rFonts w:ascii="Arial" w:hAnsi="Arial" w:cs="Arial"/>
        </w:rPr>
        <w:t>carp</w:t>
      </w:r>
      <w:proofErr w:type="gramEnd"/>
      <w:r>
        <w:rPr>
          <w:rFonts w:ascii="Arial" w:hAnsi="Arial" w:cs="Arial"/>
        </w:rPr>
        <w:t xml:space="preserve"> and redfin). If required, drainage of water bodies to eliminate fish should occur during times of the year when there are few or no tadpoles present.</w:t>
      </w:r>
    </w:p>
    <w:p w14:paraId="116964D1" w14:textId="77777777" w:rsidR="006811B9" w:rsidRDefault="006811B9">
      <w:pPr>
        <w:numPr>
          <w:ilvl w:val="0"/>
          <w:numId w:val="21"/>
        </w:numPr>
        <w:spacing w:before="0" w:after="0"/>
        <w:rPr>
          <w:rFonts w:ascii="Arial" w:hAnsi="Arial" w:cs="Arial"/>
        </w:rPr>
      </w:pPr>
      <w:r>
        <w:rPr>
          <w:rFonts w:ascii="Arial" w:hAnsi="Arial" w:cs="Arial"/>
        </w:rPr>
        <w:t xml:space="preserve">Improve terrestrial habitat through provision of logs, </w:t>
      </w:r>
      <w:proofErr w:type="gramStart"/>
      <w:r>
        <w:rPr>
          <w:rFonts w:ascii="Arial" w:hAnsi="Arial" w:cs="Arial"/>
        </w:rPr>
        <w:t>rocks</w:t>
      </w:r>
      <w:proofErr w:type="gramEnd"/>
      <w:r>
        <w:rPr>
          <w:rFonts w:ascii="Arial" w:hAnsi="Arial" w:cs="Arial"/>
        </w:rPr>
        <w:t xml:space="preserve"> and riparian vegetation etc., to provide a diversity of overwintering habitat.</w:t>
      </w:r>
    </w:p>
    <w:p w14:paraId="134D5FA0" w14:textId="77777777" w:rsidR="006811B9" w:rsidRDefault="006811B9">
      <w:pPr>
        <w:numPr>
          <w:ilvl w:val="0"/>
          <w:numId w:val="21"/>
        </w:numPr>
        <w:spacing w:before="0"/>
        <w:ind w:left="714" w:hanging="357"/>
        <w:rPr>
          <w:rFonts w:ascii="Arial" w:hAnsi="Arial" w:cs="Arial"/>
          <w:b/>
        </w:rPr>
      </w:pPr>
      <w:r>
        <w:rPr>
          <w:rFonts w:ascii="Arial" w:hAnsi="Arial" w:cs="Arial"/>
        </w:rPr>
        <w:t>Manage terrestrial weeds (manually, and without chemicals).</w:t>
      </w:r>
    </w:p>
    <w:p w14:paraId="1A5A2B5C" w14:textId="77777777" w:rsidR="006811B9" w:rsidRDefault="006811B9">
      <w:pPr>
        <w:spacing w:before="0" w:after="0"/>
        <w:rPr>
          <w:rFonts w:ascii="Arial" w:hAnsi="Arial" w:cs="Arial"/>
        </w:rPr>
      </w:pPr>
    </w:p>
    <w:p w14:paraId="103E1EAC" w14:textId="77777777" w:rsidR="006811B9" w:rsidRDefault="006811B9">
      <w:pPr>
        <w:spacing w:before="0" w:after="0"/>
        <w:rPr>
          <w:rFonts w:ascii="Arial" w:hAnsi="Arial" w:cs="Arial"/>
          <w:highlight w:val="yellow"/>
        </w:rPr>
      </w:pPr>
      <w:r>
        <w:rPr>
          <w:rFonts w:ascii="Arial" w:hAnsi="Arial" w:cs="Arial"/>
        </w:rPr>
        <w:t xml:space="preserve">Some experimental measures, such as habitat creation, frog fencing and construction of underpasses, have been proposed or tried </w:t>
      </w:r>
      <w:proofErr w:type="gramStart"/>
      <w:r>
        <w:rPr>
          <w:rFonts w:ascii="Arial" w:hAnsi="Arial" w:cs="Arial"/>
        </w:rPr>
        <w:t>in an attempt to</w:t>
      </w:r>
      <w:proofErr w:type="gramEnd"/>
      <w:r>
        <w:rPr>
          <w:rFonts w:ascii="Arial" w:hAnsi="Arial" w:cs="Arial"/>
        </w:rPr>
        <w:t xml:space="preserve"> mitigate the impacts of an action. </w:t>
      </w:r>
      <w:proofErr w:type="gramStart"/>
      <w:r>
        <w:rPr>
          <w:rFonts w:ascii="Arial" w:hAnsi="Arial" w:cs="Arial"/>
        </w:rPr>
        <w:t>As yet</w:t>
      </w:r>
      <w:proofErr w:type="gramEnd"/>
      <w:r>
        <w:rPr>
          <w:rFonts w:ascii="Arial" w:hAnsi="Arial" w:cs="Arial"/>
        </w:rPr>
        <w:t xml:space="preserve">, these measures have not demonstrated substantial success and should be considered experimental. </w:t>
      </w:r>
    </w:p>
    <w:p w14:paraId="3A2B7371" w14:textId="77777777" w:rsidR="006811B9" w:rsidRDefault="006811B9">
      <w:pPr>
        <w:pStyle w:val="Heading2"/>
        <w:numPr>
          <w:ilvl w:val="0"/>
          <w:numId w:val="1"/>
        </w:numPr>
        <w:rPr>
          <w:rFonts w:ascii="Arial" w:hAnsi="Arial"/>
        </w:rPr>
      </w:pPr>
      <w:r>
        <w:rPr>
          <w:rFonts w:ascii="Arial" w:hAnsi="Arial"/>
        </w:rPr>
        <w:t>Translocation</w:t>
      </w:r>
    </w:p>
    <w:p w14:paraId="2FF8906A" w14:textId="77777777" w:rsidR="006811B9" w:rsidRDefault="006811B9">
      <w:pPr>
        <w:rPr>
          <w:rFonts w:ascii="Arial" w:hAnsi="Arial" w:cs="Arial"/>
        </w:rPr>
      </w:pPr>
      <w:r>
        <w:rPr>
          <w:rFonts w:ascii="Arial" w:hAnsi="Arial" w:cs="Arial"/>
        </w:rPr>
        <w:t xml:space="preserve">Translocation does not reduce the impact of an action below the significance threshold. Translocation of growling grass frogs is </w:t>
      </w:r>
      <w:r>
        <w:rPr>
          <w:rFonts w:ascii="Arial" w:hAnsi="Arial" w:cs="Arial"/>
          <w:b/>
        </w:rPr>
        <w:t>not</w:t>
      </w:r>
      <w:r>
        <w:rPr>
          <w:rFonts w:ascii="Arial" w:hAnsi="Arial" w:cs="Arial"/>
        </w:rPr>
        <w:t xml:space="preserve"> considered to mitigate the impact of an action. However, salvage translocation may be considered as part of the conditions of approval. </w:t>
      </w:r>
    </w:p>
    <w:p w14:paraId="6DC90E98" w14:textId="77777777" w:rsidR="006811B9" w:rsidRDefault="006811B9">
      <w:pPr>
        <w:pStyle w:val="Heading2"/>
        <w:numPr>
          <w:ilvl w:val="0"/>
          <w:numId w:val="1"/>
        </w:numPr>
        <w:rPr>
          <w:rFonts w:ascii="Arial" w:hAnsi="Arial"/>
        </w:rPr>
      </w:pPr>
      <w:r>
        <w:rPr>
          <w:rFonts w:ascii="Arial" w:hAnsi="Arial"/>
        </w:rPr>
        <w:t>Where can I get more information?</w:t>
      </w:r>
    </w:p>
    <w:p w14:paraId="5541C020" w14:textId="77777777" w:rsidR="006811B9" w:rsidRDefault="006811B9">
      <w:pPr>
        <w:rPr>
          <w:rFonts w:ascii="Arial" w:hAnsi="Arial" w:cs="Arial"/>
        </w:rPr>
      </w:pPr>
      <w:r>
        <w:rPr>
          <w:rFonts w:ascii="Arial" w:hAnsi="Arial" w:cs="Arial"/>
        </w:rPr>
        <w:t>The background paper for this policy statement provides a biological and ecological context for survey guidelines, significant impact thresholds, and mitigation measures.</w:t>
      </w:r>
    </w:p>
    <w:p w14:paraId="56745C79" w14:textId="77777777" w:rsidR="006811B9" w:rsidRDefault="006811B9">
      <w:pPr>
        <w:rPr>
          <w:rFonts w:ascii="Arial" w:hAnsi="Arial" w:cs="Arial"/>
        </w:rPr>
      </w:pPr>
      <w:r>
        <w:rPr>
          <w:rFonts w:ascii="Arial" w:hAnsi="Arial" w:cs="Arial"/>
        </w:rPr>
        <w:lastRenderedPageBreak/>
        <w:t xml:space="preserve">Other EPBC Act policy statements are available to help you to understand the EPBC Act and your obligations. They are available from the Department’s website at: </w:t>
      </w:r>
      <w:hyperlink r:id="rId14" w:history="1">
        <w:r>
          <w:rPr>
            <w:rFonts w:ascii="Arial" w:hAnsi="Arial" w:cs="Arial"/>
            <w:color w:val="0000FF"/>
            <w:u w:val="single"/>
          </w:rPr>
          <w:t>http://www.environment.gov.au/epbc/guidelines-policies.html</w:t>
        </w:r>
      </w:hyperlink>
      <w:r>
        <w:rPr>
          <w:rFonts w:ascii="Arial" w:hAnsi="Arial" w:cs="Arial"/>
        </w:rPr>
        <w:t>, or by contacting the Community Information Unit by email: ciu@environment.gov.au or by phone: 1800 803 772.</w:t>
      </w:r>
    </w:p>
    <w:p w14:paraId="490C676C" w14:textId="77777777" w:rsidR="006811B9" w:rsidRDefault="006811B9">
      <w:pPr>
        <w:rPr>
          <w:rFonts w:ascii="Arial" w:hAnsi="Arial" w:cs="Arial"/>
          <w:lang w:val="en"/>
        </w:rPr>
      </w:pPr>
      <w:r>
        <w:rPr>
          <w:rFonts w:ascii="Arial" w:hAnsi="Arial" w:cs="Arial"/>
        </w:rPr>
        <w:t xml:space="preserve">The </w:t>
      </w:r>
      <w:hyperlink r:id="rId15" w:history="1">
        <w:r>
          <w:rPr>
            <w:rStyle w:val="Hyperlink"/>
            <w:rFonts w:ascii="Arial" w:hAnsi="Arial" w:cs="Arial"/>
            <w:lang w:val="en"/>
          </w:rPr>
          <w:t>threat abatement plan for infection of amphibians with chytrid fungus resulting in chytridiomycosis</w:t>
        </w:r>
      </w:hyperlink>
      <w:r>
        <w:rPr>
          <w:rFonts w:ascii="Arial" w:hAnsi="Arial" w:cs="Arial"/>
          <w:lang w:val="en"/>
        </w:rPr>
        <w:t xml:space="preserve"> can be found at: </w:t>
      </w:r>
      <w:hyperlink r:id="rId16" w:history="1">
        <w:r>
          <w:rPr>
            <w:rStyle w:val="Hyperlink"/>
            <w:rFonts w:ascii="Arial" w:hAnsi="Arial" w:cs="Arial"/>
            <w:lang w:val="en"/>
          </w:rPr>
          <w:t>http://www.environment.gov.au/biodiversity/threatened/publications/tap/chytrid.html</w:t>
        </w:r>
      </w:hyperlink>
    </w:p>
    <w:p w14:paraId="7BE86F6D" w14:textId="77777777" w:rsidR="006811B9" w:rsidRDefault="006811B9">
      <w:pPr>
        <w:rPr>
          <w:rFonts w:ascii="Arial" w:hAnsi="Arial" w:cs="Arial"/>
          <w:i/>
          <w:lang w:val="en"/>
        </w:rPr>
      </w:pPr>
      <w:r>
        <w:rPr>
          <w:rFonts w:ascii="Arial" w:hAnsi="Arial" w:cs="Arial"/>
          <w:lang w:val="en"/>
        </w:rPr>
        <w:t xml:space="preserve">The draft </w:t>
      </w:r>
      <w:smartTag w:uri="urn:schemas-microsoft-com:office:smarttags" w:element="place">
        <w:smartTag w:uri="urn:schemas-microsoft-com:office:smarttags" w:element="State">
          <w:r>
            <w:rPr>
              <w:rFonts w:ascii="Arial" w:hAnsi="Arial" w:cs="Arial"/>
              <w:lang w:val="en"/>
            </w:rPr>
            <w:t>New South Wales</w:t>
          </w:r>
        </w:smartTag>
      </w:smartTag>
      <w:r>
        <w:rPr>
          <w:rFonts w:ascii="Arial" w:hAnsi="Arial" w:cs="Arial"/>
          <w:lang w:val="en"/>
        </w:rPr>
        <w:t xml:space="preserve"> recovery plan for </w:t>
      </w:r>
      <w:proofErr w:type="spellStart"/>
      <w:r>
        <w:rPr>
          <w:rFonts w:ascii="Arial" w:hAnsi="Arial" w:cs="Arial"/>
          <w:i/>
          <w:lang w:val="en"/>
        </w:rPr>
        <w:t>Litoria</w:t>
      </w:r>
      <w:proofErr w:type="spellEnd"/>
      <w:r>
        <w:rPr>
          <w:rFonts w:ascii="Arial" w:hAnsi="Arial" w:cs="Arial"/>
          <w:i/>
          <w:lang w:val="en"/>
        </w:rPr>
        <w:t xml:space="preserve"> </w:t>
      </w:r>
      <w:proofErr w:type="spellStart"/>
      <w:r>
        <w:rPr>
          <w:rFonts w:ascii="Arial" w:hAnsi="Arial" w:cs="Arial"/>
          <w:i/>
          <w:lang w:val="en"/>
        </w:rPr>
        <w:t>raniformis</w:t>
      </w:r>
      <w:proofErr w:type="spellEnd"/>
      <w:r>
        <w:rPr>
          <w:rFonts w:ascii="Arial" w:hAnsi="Arial" w:cs="Arial"/>
          <w:i/>
          <w:lang w:val="en"/>
        </w:rPr>
        <w:t xml:space="preserve"> </w:t>
      </w:r>
      <w:r>
        <w:rPr>
          <w:rFonts w:ascii="Arial" w:hAnsi="Arial" w:cs="Arial"/>
          <w:lang w:val="en"/>
        </w:rPr>
        <w:t xml:space="preserve">prepared by the Department of </w:t>
      </w:r>
      <w:proofErr w:type="spellStart"/>
      <w:r>
        <w:rPr>
          <w:rFonts w:ascii="Arial" w:hAnsi="Arial" w:cs="Arial"/>
          <w:lang w:val="en"/>
        </w:rPr>
        <w:t>of</w:t>
      </w:r>
      <w:proofErr w:type="spellEnd"/>
      <w:r>
        <w:rPr>
          <w:rFonts w:ascii="Arial" w:hAnsi="Arial" w:cs="Arial"/>
          <w:lang w:val="en"/>
        </w:rPr>
        <w:t xml:space="preserve"> Environment and Conservation (DEC) (NSW) can be found at: </w:t>
      </w:r>
      <w:hyperlink r:id="rId17" w:history="1">
        <w:r>
          <w:rPr>
            <w:rStyle w:val="Hyperlink"/>
            <w:rFonts w:ascii="Arial" w:hAnsi="Arial" w:cs="Arial"/>
            <w:lang w:val="en"/>
          </w:rPr>
          <w:t>http://www.environment.nsw.gov.au/resources/nature/recoveryplanDraftSouthernBellFrog.pdf</w:t>
        </w:r>
      </w:hyperlink>
      <w:r>
        <w:rPr>
          <w:rFonts w:ascii="Arial" w:hAnsi="Arial" w:cs="Arial"/>
          <w:i/>
          <w:lang w:val="en"/>
        </w:rPr>
        <w:t xml:space="preserve"> </w:t>
      </w:r>
    </w:p>
    <w:p w14:paraId="1F079698" w14:textId="77777777" w:rsidR="006811B9" w:rsidRDefault="006811B9">
      <w:pPr>
        <w:rPr>
          <w:rFonts w:ascii="Arial" w:hAnsi="Arial" w:cs="Arial"/>
        </w:rPr>
      </w:pPr>
      <w:r>
        <w:rPr>
          <w:rFonts w:ascii="Arial" w:hAnsi="Arial" w:cs="Arial"/>
        </w:rPr>
        <w:t xml:space="preserve">The </w:t>
      </w:r>
      <w:hyperlink r:id="rId18" w:history="1">
        <w:r>
          <w:rPr>
            <w:rStyle w:val="Hyperlink"/>
            <w:rFonts w:ascii="Arial" w:hAnsi="Arial" w:cs="Arial"/>
          </w:rPr>
          <w:t>Protected Matters Search Tool</w:t>
        </w:r>
      </w:hyperlink>
      <w:r>
        <w:rPr>
          <w:rFonts w:ascii="Arial" w:hAnsi="Arial" w:cs="Arial"/>
        </w:rPr>
        <w:t xml:space="preserve"> can provide a good starting point for determining the likelihood of having matters of national environmental significance in your area. State and territory government agencies may also hold relevant information including habitat and species distribution information.</w:t>
      </w:r>
    </w:p>
    <w:p w14:paraId="01291193" w14:textId="77777777" w:rsidR="006811B9" w:rsidRDefault="006811B9">
      <w:pPr>
        <w:rPr>
          <w:rFonts w:ascii="Arial" w:hAnsi="Arial" w:cs="Arial"/>
        </w:rPr>
      </w:pPr>
      <w:r>
        <w:rPr>
          <w:rFonts w:ascii="Arial" w:hAnsi="Arial" w:cs="Arial"/>
        </w:rPr>
        <w:t xml:space="preserve">Further information including on this and other listed threatened species and ecological communities is at the Department’s Species Profiles and Threats Database (SPRAT) at: </w:t>
      </w:r>
      <w:hyperlink r:id="rId19" w:history="1">
        <w:r>
          <w:rPr>
            <w:rStyle w:val="Hyperlink"/>
            <w:rFonts w:ascii="Arial" w:hAnsi="Arial" w:cs="Arial"/>
          </w:rPr>
          <w:t>http://www.environment.gov.au/cgi-bin/sprat/public/sprat.pl</w:t>
        </w:r>
      </w:hyperlink>
      <w:r>
        <w:rPr>
          <w:rFonts w:ascii="Arial" w:hAnsi="Arial" w:cs="Arial"/>
        </w:rPr>
        <w:t>.</w:t>
      </w:r>
    </w:p>
    <w:p w14:paraId="1F93EB67" w14:textId="77777777" w:rsidR="006811B9" w:rsidRDefault="006811B9">
      <w:pPr>
        <w:jc w:val="right"/>
        <w:rPr>
          <w:rFonts w:ascii="Arial" w:hAnsi="Arial" w:cs="Arial"/>
        </w:rPr>
      </w:pPr>
      <w:r>
        <w:rPr>
          <w:rFonts w:ascii="Arial" w:hAnsi="Arial" w:cs="Arial"/>
        </w:rPr>
        <w:t>SIS</w:t>
      </w:r>
    </w:p>
    <w:p w14:paraId="08BA8E56" w14:textId="77777777" w:rsidR="006811B9" w:rsidRDefault="006811B9">
      <w:pPr>
        <w:jc w:val="right"/>
        <w:rPr>
          <w:rFonts w:ascii="Arial" w:hAnsi="Arial" w:cs="Arial"/>
        </w:rPr>
      </w:pPr>
    </w:p>
    <w:p w14:paraId="77F335E5" w14:textId="77777777" w:rsidR="006811B9" w:rsidRDefault="006811B9">
      <w:pPr>
        <w:rPr>
          <w:rFonts w:ascii="Arial" w:hAnsi="Arial" w:cs="Arial"/>
        </w:rPr>
      </w:pPr>
      <w:r>
        <w:rPr>
          <w:rFonts w:ascii="Arial" w:hAnsi="Arial" w:cs="Arial"/>
        </w:rPr>
        <w:t>Photo credit: page 1 © Daniel Gilmore</w:t>
      </w:r>
    </w:p>
    <w:sectPr w:rsidR="006811B9">
      <w:headerReference w:type="even" r:id="rId20"/>
      <w:headerReference w:type="default" r:id="rId21"/>
      <w:footerReference w:type="even" r:id="rId22"/>
      <w:footerReference w:type="default" r:id="rId23"/>
      <w:headerReference w:type="first" r:id="rId24"/>
      <w:pgSz w:w="11906" w:h="16838"/>
      <w:pgMar w:top="1440" w:right="1800"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8AD0" w14:textId="77777777" w:rsidR="006811B9" w:rsidRDefault="006811B9">
      <w:r>
        <w:separator/>
      </w:r>
    </w:p>
  </w:endnote>
  <w:endnote w:type="continuationSeparator" w:id="0">
    <w:p w14:paraId="2716FD2A" w14:textId="77777777" w:rsidR="006811B9" w:rsidRDefault="00681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50802" w14:textId="77777777" w:rsidR="006811B9" w:rsidRDefault="006811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40F6E4" w14:textId="77777777" w:rsidR="006811B9" w:rsidRDefault="006811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EE6B44" w14:textId="77777777" w:rsidR="006811B9" w:rsidRDefault="006811B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A95E8AF" w14:textId="77777777" w:rsidR="006811B9" w:rsidRDefault="006811B9">
    <w:pPr>
      <w:pStyle w:val="Footer"/>
      <w:spacing w:before="0" w:after="0"/>
      <w:ind w:right="360"/>
      <w:rPr>
        <w:rFonts w:ascii="Arial" w:hAnsi="Arial" w:cs="Arial"/>
        <w:sz w:val="16"/>
        <w:szCs w:val="16"/>
      </w:rPr>
    </w:pPr>
    <w:r>
      <w:rPr>
        <w:rFonts w:ascii="Arial" w:hAnsi="Arial" w:cs="Arial"/>
        <w:sz w:val="16"/>
        <w:szCs w:val="16"/>
      </w:rPr>
      <w:t xml:space="preserve">EPBC Act Policy Statement 3.14 – </w:t>
    </w:r>
  </w:p>
  <w:p w14:paraId="540C3C9E" w14:textId="77777777" w:rsidR="006811B9" w:rsidRDefault="006811B9">
    <w:pPr>
      <w:pStyle w:val="Footer"/>
      <w:spacing w:before="0" w:after="0"/>
      <w:ind w:right="357"/>
      <w:rPr>
        <w:rFonts w:ascii="Arial" w:hAnsi="Arial" w:cs="Arial"/>
        <w:sz w:val="16"/>
        <w:szCs w:val="16"/>
      </w:rPr>
    </w:pPr>
    <w:r>
      <w:rPr>
        <w:rFonts w:ascii="Arial" w:hAnsi="Arial" w:cs="Arial"/>
        <w:sz w:val="16"/>
        <w:szCs w:val="16"/>
      </w:rPr>
      <w:t>Significant Impact Guidelines for the vulnerable growling grass frog (</w:t>
    </w:r>
    <w:proofErr w:type="spellStart"/>
    <w:r>
      <w:rPr>
        <w:rFonts w:ascii="Arial" w:hAnsi="Arial" w:cs="Arial"/>
        <w:i/>
        <w:sz w:val="16"/>
        <w:szCs w:val="16"/>
      </w:rPr>
      <w:t>Litoria</w:t>
    </w:r>
    <w:proofErr w:type="spellEnd"/>
    <w:r>
      <w:rPr>
        <w:rFonts w:ascii="Arial" w:hAnsi="Arial" w:cs="Arial"/>
        <w:i/>
        <w:sz w:val="16"/>
        <w:szCs w:val="16"/>
      </w:rPr>
      <w:t xml:space="preserve"> </w:t>
    </w:r>
    <w:proofErr w:type="spellStart"/>
    <w:r>
      <w:rPr>
        <w:rFonts w:ascii="Arial" w:hAnsi="Arial" w:cs="Arial"/>
        <w:i/>
        <w:sz w:val="16"/>
        <w:szCs w:val="16"/>
      </w:rPr>
      <w:t>raniformis</w:t>
    </w:r>
    <w:proofErr w:type="spellEnd"/>
    <w:r>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A8674" w14:textId="77777777" w:rsidR="006811B9" w:rsidRDefault="006811B9">
      <w:r>
        <w:separator/>
      </w:r>
    </w:p>
  </w:footnote>
  <w:footnote w:type="continuationSeparator" w:id="0">
    <w:p w14:paraId="41E1FC0F" w14:textId="77777777" w:rsidR="006811B9" w:rsidRDefault="006811B9">
      <w:r>
        <w:continuationSeparator/>
      </w:r>
    </w:p>
  </w:footnote>
  <w:footnote w:id="1">
    <w:p w14:paraId="6C59D75F" w14:textId="77777777" w:rsidR="00F04F26" w:rsidRDefault="006811B9">
      <w:pPr>
        <w:pStyle w:val="References"/>
        <w:spacing w:before="0" w:after="0"/>
        <w:ind w:firstLine="0"/>
      </w:pPr>
      <w:r>
        <w:rPr>
          <w:rStyle w:val="FootnoteReference"/>
          <w:sz w:val="20"/>
          <w:szCs w:val="20"/>
        </w:rPr>
        <w:footnoteRef/>
      </w:r>
      <w:r>
        <w:rPr>
          <w:sz w:val="20"/>
          <w:szCs w:val="20"/>
        </w:rPr>
        <w:t xml:space="preserve"> Heard, G.W, Robertson, P &amp; M.P. Scroggie 2006. Assessing detection probabilities for the endangered growling grass frog (</w:t>
      </w:r>
      <w:r>
        <w:rPr>
          <w:i/>
          <w:sz w:val="20"/>
          <w:szCs w:val="20"/>
        </w:rPr>
        <w:t>Litoria raniformis</w:t>
      </w:r>
      <w:r>
        <w:rPr>
          <w:sz w:val="20"/>
          <w:szCs w:val="20"/>
        </w:rPr>
        <w:t xml:space="preserve">) in southern </w:t>
      </w:r>
      <w:smartTag w:uri="urn:schemas-microsoft-com:office:smarttags" w:element="place">
        <w:smartTag w:uri="urn:schemas-microsoft-com:office:smarttags" w:element="State">
          <w:r>
            <w:rPr>
              <w:sz w:val="20"/>
              <w:szCs w:val="20"/>
            </w:rPr>
            <w:t>Victoria</w:t>
          </w:r>
        </w:smartTag>
      </w:smartTag>
      <w:r>
        <w:rPr>
          <w:sz w:val="20"/>
          <w:szCs w:val="20"/>
        </w:rPr>
        <w:t>. </w:t>
      </w:r>
      <w:r>
        <w:rPr>
          <w:i/>
          <w:sz w:val="20"/>
          <w:szCs w:val="20"/>
        </w:rPr>
        <w:t>Wildlife Research</w:t>
      </w:r>
      <w:r>
        <w:rPr>
          <w:sz w:val="20"/>
          <w:szCs w:val="20"/>
        </w:rPr>
        <w:t xml:space="preserve"> 33 (7).  </w:t>
      </w:r>
    </w:p>
  </w:footnote>
  <w:footnote w:id="2">
    <w:p w14:paraId="4DA83685" w14:textId="77777777" w:rsidR="00F04F26" w:rsidRDefault="006811B9">
      <w:pPr>
        <w:pStyle w:val="FootnoteText"/>
      </w:pPr>
      <w:r>
        <w:rPr>
          <w:rStyle w:val="FootnoteReference"/>
        </w:rPr>
        <w:t>1</w:t>
      </w:r>
      <w:r>
        <w:t xml:space="preserve"> Heard, G.W, Robertson, P &amp; M.P. Scroggie 2006. Assessing detection probabilities for the endangered growling grass frog (</w:t>
      </w:r>
      <w:r>
        <w:rPr>
          <w:i/>
        </w:rPr>
        <w:t>Litoria raniformis</w:t>
      </w:r>
      <w:r>
        <w:t xml:space="preserve">) in southern </w:t>
      </w:r>
      <w:smartTag w:uri="urn:schemas-microsoft-com:office:smarttags" w:element="State">
        <w:smartTag w:uri="urn:schemas-microsoft-com:office:smarttags" w:element="place">
          <w:r>
            <w:t>Victoria</w:t>
          </w:r>
        </w:smartTag>
      </w:smartTag>
      <w:r>
        <w:t>. </w:t>
      </w:r>
      <w:r>
        <w:rPr>
          <w:i/>
        </w:rPr>
        <w:t>Wildlife Research</w:t>
      </w:r>
      <w:r>
        <w:t xml:space="preserve"> 33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01DD9" w14:textId="77777777" w:rsidR="006811B9" w:rsidRDefault="006811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593B5" w14:textId="77777777" w:rsidR="006811B9" w:rsidRDefault="006811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F940A" w14:textId="77777777" w:rsidR="006811B9" w:rsidRDefault="00681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32F60"/>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64372B"/>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1E4B"/>
    <w:multiLevelType w:val="hybridMultilevel"/>
    <w:tmpl w:val="FFFFFFFF"/>
    <w:lvl w:ilvl="0" w:tplc="85904EF6">
      <w:start w:val="1"/>
      <w:numFmt w:val="bullet"/>
      <w:lvlText w:val=""/>
      <w:lvlJc w:val="left"/>
      <w:pPr>
        <w:tabs>
          <w:tab w:val="num" w:pos="720"/>
        </w:tabs>
        <w:ind w:left="720" w:hanging="360"/>
      </w:pPr>
      <w:rPr>
        <w:rFonts w:ascii="Symbol" w:hAnsi="Symbol" w:hint="default"/>
        <w:sz w:val="20"/>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915846"/>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start w:val="1"/>
      <w:numFmt w:val="bullet"/>
      <w:lvlText w:val="o"/>
      <w:lvlJc w:val="left"/>
      <w:pPr>
        <w:tabs>
          <w:tab w:val="num" w:pos="720"/>
        </w:tabs>
        <w:ind w:left="720" w:hanging="360"/>
      </w:pPr>
      <w:rPr>
        <w:rFonts w:ascii="Courier New" w:hAnsi="Courier New" w:hint="default"/>
      </w:rPr>
    </w:lvl>
    <w:lvl w:ilvl="2" w:tplc="0C090005">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F9D36F6"/>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5F22B6"/>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E72DBA"/>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F44FB4"/>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C575A3D"/>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1B095E"/>
    <w:multiLevelType w:val="hybridMultilevel"/>
    <w:tmpl w:val="FFFFFFFF"/>
    <w:lvl w:ilvl="0" w:tplc="3CE8FA34">
      <w:start w:val="1"/>
      <w:numFmt w:val="bullet"/>
      <w:lvlText w:val=""/>
      <w:lvlJc w:val="left"/>
      <w:pPr>
        <w:tabs>
          <w:tab w:val="num" w:pos="717"/>
        </w:tabs>
        <w:ind w:left="717" w:hanging="357"/>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1FAD64AE"/>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D90BF7"/>
    <w:multiLevelType w:val="hybridMultilevel"/>
    <w:tmpl w:val="FFFFFFFF"/>
    <w:lvl w:ilvl="0" w:tplc="0C09000F">
      <w:start w:val="1"/>
      <w:numFmt w:val="decimal"/>
      <w:lvlText w:val="%1."/>
      <w:lvlJc w:val="left"/>
      <w:pPr>
        <w:tabs>
          <w:tab w:val="num" w:pos="1440"/>
        </w:tabs>
        <w:ind w:left="1440" w:hanging="360"/>
      </w:pPr>
      <w:rPr>
        <w:rFonts w:cs="Times New Roman"/>
      </w:rPr>
    </w:lvl>
    <w:lvl w:ilvl="1" w:tplc="0C090019" w:tentative="1">
      <w:start w:val="1"/>
      <w:numFmt w:val="lowerLetter"/>
      <w:lvlText w:val="%2."/>
      <w:lvlJc w:val="left"/>
      <w:pPr>
        <w:tabs>
          <w:tab w:val="num" w:pos="2160"/>
        </w:tabs>
        <w:ind w:left="2160" w:hanging="360"/>
      </w:pPr>
      <w:rPr>
        <w:rFonts w:cs="Times New Roman"/>
      </w:rPr>
    </w:lvl>
    <w:lvl w:ilvl="2" w:tplc="0C09001B" w:tentative="1">
      <w:start w:val="1"/>
      <w:numFmt w:val="lowerRoman"/>
      <w:lvlText w:val="%3."/>
      <w:lvlJc w:val="right"/>
      <w:pPr>
        <w:tabs>
          <w:tab w:val="num" w:pos="2880"/>
        </w:tabs>
        <w:ind w:left="2880" w:hanging="180"/>
      </w:pPr>
      <w:rPr>
        <w:rFonts w:cs="Times New Roman"/>
      </w:rPr>
    </w:lvl>
    <w:lvl w:ilvl="3" w:tplc="0C09000F" w:tentative="1">
      <w:start w:val="1"/>
      <w:numFmt w:val="decimal"/>
      <w:lvlText w:val="%4."/>
      <w:lvlJc w:val="left"/>
      <w:pPr>
        <w:tabs>
          <w:tab w:val="num" w:pos="3600"/>
        </w:tabs>
        <w:ind w:left="3600" w:hanging="360"/>
      </w:pPr>
      <w:rPr>
        <w:rFonts w:cs="Times New Roman"/>
      </w:rPr>
    </w:lvl>
    <w:lvl w:ilvl="4" w:tplc="0C090019" w:tentative="1">
      <w:start w:val="1"/>
      <w:numFmt w:val="lowerLetter"/>
      <w:lvlText w:val="%5."/>
      <w:lvlJc w:val="left"/>
      <w:pPr>
        <w:tabs>
          <w:tab w:val="num" w:pos="4320"/>
        </w:tabs>
        <w:ind w:left="4320" w:hanging="360"/>
      </w:pPr>
      <w:rPr>
        <w:rFonts w:cs="Times New Roman"/>
      </w:rPr>
    </w:lvl>
    <w:lvl w:ilvl="5" w:tplc="0C09001B" w:tentative="1">
      <w:start w:val="1"/>
      <w:numFmt w:val="lowerRoman"/>
      <w:lvlText w:val="%6."/>
      <w:lvlJc w:val="right"/>
      <w:pPr>
        <w:tabs>
          <w:tab w:val="num" w:pos="5040"/>
        </w:tabs>
        <w:ind w:left="5040" w:hanging="180"/>
      </w:pPr>
      <w:rPr>
        <w:rFonts w:cs="Times New Roman"/>
      </w:rPr>
    </w:lvl>
    <w:lvl w:ilvl="6" w:tplc="0C09000F" w:tentative="1">
      <w:start w:val="1"/>
      <w:numFmt w:val="decimal"/>
      <w:lvlText w:val="%7."/>
      <w:lvlJc w:val="left"/>
      <w:pPr>
        <w:tabs>
          <w:tab w:val="num" w:pos="5760"/>
        </w:tabs>
        <w:ind w:left="5760" w:hanging="360"/>
      </w:pPr>
      <w:rPr>
        <w:rFonts w:cs="Times New Roman"/>
      </w:rPr>
    </w:lvl>
    <w:lvl w:ilvl="7" w:tplc="0C090019" w:tentative="1">
      <w:start w:val="1"/>
      <w:numFmt w:val="lowerLetter"/>
      <w:lvlText w:val="%8."/>
      <w:lvlJc w:val="left"/>
      <w:pPr>
        <w:tabs>
          <w:tab w:val="num" w:pos="6480"/>
        </w:tabs>
        <w:ind w:left="6480" w:hanging="360"/>
      </w:pPr>
      <w:rPr>
        <w:rFonts w:cs="Times New Roman"/>
      </w:rPr>
    </w:lvl>
    <w:lvl w:ilvl="8" w:tplc="0C09001B" w:tentative="1">
      <w:start w:val="1"/>
      <w:numFmt w:val="lowerRoman"/>
      <w:lvlText w:val="%9."/>
      <w:lvlJc w:val="right"/>
      <w:pPr>
        <w:tabs>
          <w:tab w:val="num" w:pos="7200"/>
        </w:tabs>
        <w:ind w:left="7200" w:hanging="180"/>
      </w:pPr>
      <w:rPr>
        <w:rFonts w:cs="Times New Roman"/>
      </w:rPr>
    </w:lvl>
  </w:abstractNum>
  <w:abstractNum w:abstractNumId="12" w15:restartNumberingAfterBreak="0">
    <w:nsid w:val="27977841"/>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9F1552"/>
    <w:multiLevelType w:val="multilevel"/>
    <w:tmpl w:val="FFFFFFFF"/>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8E762FC"/>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031592"/>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B824EE8"/>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CBE42E3"/>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23B47A7"/>
    <w:multiLevelType w:val="hybridMultilevel"/>
    <w:tmpl w:val="FFFFFFFF"/>
    <w:lvl w:ilvl="0" w:tplc="33F461D2">
      <w:start w:val="1"/>
      <w:numFmt w:val="bullet"/>
      <w:lvlText w:val=""/>
      <w:lvlJc w:val="left"/>
      <w:pPr>
        <w:tabs>
          <w:tab w:val="num" w:pos="720"/>
        </w:tabs>
        <w:ind w:left="720" w:hanging="360"/>
      </w:pPr>
      <w:rPr>
        <w:rFonts w:ascii="Symbol" w:hAnsi="Symbol" w:hint="default"/>
        <w:sz w:val="20"/>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581465"/>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1200D5"/>
    <w:multiLevelType w:val="hybridMultilevel"/>
    <w:tmpl w:val="FFFFFFFF"/>
    <w:lvl w:ilvl="0" w:tplc="C8E69530">
      <w:start w:val="1"/>
      <w:numFmt w:val="decimal"/>
      <w:lvlText w:val="%1)"/>
      <w:lvlJc w:val="left"/>
      <w:pPr>
        <w:tabs>
          <w:tab w:val="num" w:pos="284"/>
        </w:tabs>
      </w:pPr>
      <w:rPr>
        <w:rFonts w:ascii="Times New Roman" w:eastAsia="Times New Roman" w:hAnsi="Times New Roman"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3C263C40"/>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EB01911"/>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F90422C"/>
    <w:multiLevelType w:val="multilevel"/>
    <w:tmpl w:val="FFFFFFFF"/>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D312AB"/>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720"/>
        </w:tabs>
        <w:ind w:left="720" w:hanging="360"/>
      </w:pPr>
      <w:rPr>
        <w:rFonts w:ascii="Courier New" w:hAnsi="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25" w15:restartNumberingAfterBreak="0">
    <w:nsid w:val="47763621"/>
    <w:multiLevelType w:val="hybridMultilevel"/>
    <w:tmpl w:val="FFFFFFFF"/>
    <w:lvl w:ilvl="0" w:tplc="0C090001">
      <w:start w:val="1"/>
      <w:numFmt w:val="bullet"/>
      <w:lvlText w:val=""/>
      <w:lvlJc w:val="left"/>
      <w:pPr>
        <w:tabs>
          <w:tab w:val="num" w:pos="1440"/>
        </w:tabs>
        <w:ind w:left="144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DC0D04"/>
    <w:multiLevelType w:val="hybridMultilevel"/>
    <w:tmpl w:val="FFFFFFFF"/>
    <w:lvl w:ilvl="0" w:tplc="0C090001">
      <w:start w:val="1"/>
      <w:numFmt w:val="bullet"/>
      <w:lvlText w:val=""/>
      <w:lvlJc w:val="left"/>
      <w:pPr>
        <w:tabs>
          <w:tab w:val="num" w:pos="372"/>
        </w:tabs>
        <w:ind w:left="372" w:hanging="360"/>
      </w:pPr>
      <w:rPr>
        <w:rFonts w:ascii="Symbol" w:hAnsi="Symbol" w:hint="default"/>
      </w:rPr>
    </w:lvl>
    <w:lvl w:ilvl="1" w:tplc="0C090003" w:tentative="1">
      <w:start w:val="1"/>
      <w:numFmt w:val="bullet"/>
      <w:lvlText w:val="o"/>
      <w:lvlJc w:val="left"/>
      <w:pPr>
        <w:tabs>
          <w:tab w:val="num" w:pos="1092"/>
        </w:tabs>
        <w:ind w:left="1092" w:hanging="360"/>
      </w:pPr>
      <w:rPr>
        <w:rFonts w:ascii="Courier New" w:hAnsi="Courier New" w:hint="default"/>
      </w:rPr>
    </w:lvl>
    <w:lvl w:ilvl="2" w:tplc="0C090005" w:tentative="1">
      <w:start w:val="1"/>
      <w:numFmt w:val="bullet"/>
      <w:lvlText w:val=""/>
      <w:lvlJc w:val="left"/>
      <w:pPr>
        <w:tabs>
          <w:tab w:val="num" w:pos="1812"/>
        </w:tabs>
        <w:ind w:left="1812" w:hanging="360"/>
      </w:pPr>
      <w:rPr>
        <w:rFonts w:ascii="Wingdings" w:hAnsi="Wingdings" w:hint="default"/>
      </w:rPr>
    </w:lvl>
    <w:lvl w:ilvl="3" w:tplc="0C090001" w:tentative="1">
      <w:start w:val="1"/>
      <w:numFmt w:val="bullet"/>
      <w:lvlText w:val=""/>
      <w:lvlJc w:val="left"/>
      <w:pPr>
        <w:tabs>
          <w:tab w:val="num" w:pos="2532"/>
        </w:tabs>
        <w:ind w:left="2532" w:hanging="360"/>
      </w:pPr>
      <w:rPr>
        <w:rFonts w:ascii="Symbol" w:hAnsi="Symbol" w:hint="default"/>
      </w:rPr>
    </w:lvl>
    <w:lvl w:ilvl="4" w:tplc="0C090003" w:tentative="1">
      <w:start w:val="1"/>
      <w:numFmt w:val="bullet"/>
      <w:lvlText w:val="o"/>
      <w:lvlJc w:val="left"/>
      <w:pPr>
        <w:tabs>
          <w:tab w:val="num" w:pos="3252"/>
        </w:tabs>
        <w:ind w:left="3252" w:hanging="360"/>
      </w:pPr>
      <w:rPr>
        <w:rFonts w:ascii="Courier New" w:hAnsi="Courier New" w:hint="default"/>
      </w:rPr>
    </w:lvl>
    <w:lvl w:ilvl="5" w:tplc="0C090005" w:tentative="1">
      <w:start w:val="1"/>
      <w:numFmt w:val="bullet"/>
      <w:lvlText w:val=""/>
      <w:lvlJc w:val="left"/>
      <w:pPr>
        <w:tabs>
          <w:tab w:val="num" w:pos="3972"/>
        </w:tabs>
        <w:ind w:left="3972" w:hanging="360"/>
      </w:pPr>
      <w:rPr>
        <w:rFonts w:ascii="Wingdings" w:hAnsi="Wingdings" w:hint="default"/>
      </w:rPr>
    </w:lvl>
    <w:lvl w:ilvl="6" w:tplc="0C090001" w:tentative="1">
      <w:start w:val="1"/>
      <w:numFmt w:val="bullet"/>
      <w:lvlText w:val=""/>
      <w:lvlJc w:val="left"/>
      <w:pPr>
        <w:tabs>
          <w:tab w:val="num" w:pos="4692"/>
        </w:tabs>
        <w:ind w:left="4692" w:hanging="360"/>
      </w:pPr>
      <w:rPr>
        <w:rFonts w:ascii="Symbol" w:hAnsi="Symbol" w:hint="default"/>
      </w:rPr>
    </w:lvl>
    <w:lvl w:ilvl="7" w:tplc="0C090003" w:tentative="1">
      <w:start w:val="1"/>
      <w:numFmt w:val="bullet"/>
      <w:lvlText w:val="o"/>
      <w:lvlJc w:val="left"/>
      <w:pPr>
        <w:tabs>
          <w:tab w:val="num" w:pos="5412"/>
        </w:tabs>
        <w:ind w:left="5412" w:hanging="360"/>
      </w:pPr>
      <w:rPr>
        <w:rFonts w:ascii="Courier New" w:hAnsi="Courier New" w:hint="default"/>
      </w:rPr>
    </w:lvl>
    <w:lvl w:ilvl="8" w:tplc="0C090005" w:tentative="1">
      <w:start w:val="1"/>
      <w:numFmt w:val="bullet"/>
      <w:lvlText w:val=""/>
      <w:lvlJc w:val="left"/>
      <w:pPr>
        <w:tabs>
          <w:tab w:val="num" w:pos="6132"/>
        </w:tabs>
        <w:ind w:left="6132" w:hanging="360"/>
      </w:pPr>
      <w:rPr>
        <w:rFonts w:ascii="Wingdings" w:hAnsi="Wingdings" w:hint="default"/>
      </w:rPr>
    </w:lvl>
  </w:abstractNum>
  <w:abstractNum w:abstractNumId="27" w15:restartNumberingAfterBreak="0">
    <w:nsid w:val="486D35C6"/>
    <w:multiLevelType w:val="multilevel"/>
    <w:tmpl w:val="FFFFFFFF"/>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7A29E2"/>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3F0841"/>
    <w:multiLevelType w:val="hybridMultilevel"/>
    <w:tmpl w:val="FFFFFFFF"/>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F110A1E"/>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42965F2"/>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64736B7"/>
    <w:multiLevelType w:val="multilevel"/>
    <w:tmpl w:val="FFFFFFFF"/>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A7B5DC3"/>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A926B91"/>
    <w:multiLevelType w:val="hybridMultilevel"/>
    <w:tmpl w:val="FFFFFFFF"/>
    <w:lvl w:ilvl="0" w:tplc="3CE8FA34">
      <w:start w:val="1"/>
      <w:numFmt w:val="bullet"/>
      <w:lvlText w:val=""/>
      <w:lvlJc w:val="left"/>
      <w:pPr>
        <w:tabs>
          <w:tab w:val="num" w:pos="357"/>
        </w:tabs>
        <w:ind w:left="35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BEC23F3"/>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4517B6"/>
    <w:multiLevelType w:val="hybridMultilevel"/>
    <w:tmpl w:val="FFFFFFFF"/>
    <w:lvl w:ilvl="0" w:tplc="0C090001">
      <w:start w:val="1"/>
      <w:numFmt w:val="bullet"/>
      <w:lvlText w:val=""/>
      <w:lvlJc w:val="left"/>
      <w:pPr>
        <w:tabs>
          <w:tab w:val="num" w:pos="780"/>
        </w:tabs>
        <w:ind w:left="780" w:hanging="360"/>
      </w:pPr>
      <w:rPr>
        <w:rFonts w:ascii="Symbol" w:hAnsi="Symbol" w:hint="default"/>
      </w:rPr>
    </w:lvl>
    <w:lvl w:ilvl="1" w:tplc="0C090003" w:tentative="1">
      <w:start w:val="1"/>
      <w:numFmt w:val="bullet"/>
      <w:lvlText w:val="o"/>
      <w:lvlJc w:val="left"/>
      <w:pPr>
        <w:tabs>
          <w:tab w:val="num" w:pos="1500"/>
        </w:tabs>
        <w:ind w:left="1500" w:hanging="360"/>
      </w:pPr>
      <w:rPr>
        <w:rFonts w:ascii="Courier New" w:hAnsi="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37" w15:restartNumberingAfterBreak="0">
    <w:nsid w:val="5EC5727C"/>
    <w:multiLevelType w:val="hybridMultilevel"/>
    <w:tmpl w:val="FFFFFFFF"/>
    <w:lvl w:ilvl="0" w:tplc="4296FAFE">
      <w:start w:val="1"/>
      <w:numFmt w:val="bullet"/>
      <w:lvlText w:val=""/>
      <w:lvlJc w:val="left"/>
      <w:pPr>
        <w:tabs>
          <w:tab w:val="num" w:pos="720"/>
        </w:tabs>
        <w:ind w:left="720" w:hanging="363"/>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ED76C5"/>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7B3B2B"/>
    <w:multiLevelType w:val="multilevel"/>
    <w:tmpl w:val="FFFFFFFF"/>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37C6A7E"/>
    <w:multiLevelType w:val="multilevel"/>
    <w:tmpl w:val="FFFFFFFF"/>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5E67537"/>
    <w:multiLevelType w:val="multilevel"/>
    <w:tmpl w:val="FFFFFFFF"/>
    <w:lvl w:ilvl="0">
      <w:start w:val="1"/>
      <w:numFmt w:val="decimal"/>
      <w:isLg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2" w15:restartNumberingAfterBreak="0">
    <w:nsid w:val="673E0F84"/>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F10BE7"/>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FC45E9"/>
    <w:multiLevelType w:val="hybridMultilevel"/>
    <w:tmpl w:val="FFFFFFFF"/>
    <w:lvl w:ilvl="0" w:tplc="0C090003">
      <w:start w:val="1"/>
      <w:numFmt w:val="bullet"/>
      <w:lvlText w:val="o"/>
      <w:lvlJc w:val="left"/>
      <w:pPr>
        <w:tabs>
          <w:tab w:val="num" w:pos="720"/>
        </w:tabs>
        <w:ind w:left="720" w:hanging="360"/>
      </w:pPr>
      <w:rPr>
        <w:rFonts w:ascii="Courier New" w:hAnsi="Courier New" w:hint="default"/>
      </w:rPr>
    </w:lvl>
    <w:lvl w:ilvl="1" w:tplc="0C090003">
      <w:start w:val="1"/>
      <w:numFmt w:val="bullet"/>
      <w:lvlText w:val="o"/>
      <w:lvlJc w:val="left"/>
      <w:pPr>
        <w:tabs>
          <w:tab w:val="num" w:pos="720"/>
        </w:tabs>
        <w:ind w:left="720" w:hanging="360"/>
      </w:pPr>
      <w:rPr>
        <w:rFonts w:ascii="Courier New" w:hAnsi="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6D3A171A"/>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09B4A8F"/>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72C1323C"/>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6450C3F"/>
    <w:multiLevelType w:val="hybridMultilevel"/>
    <w:tmpl w:val="FFFFFFFF"/>
    <w:lvl w:ilvl="0" w:tplc="20828B28">
      <w:start w:val="1"/>
      <w:numFmt w:val="bullet"/>
      <w:lvlText w:val=""/>
      <w:lvlJc w:val="left"/>
      <w:pPr>
        <w:tabs>
          <w:tab w:val="num" w:pos="434"/>
        </w:tabs>
        <w:ind w:left="434" w:hanging="360"/>
      </w:pPr>
      <w:rPr>
        <w:rFonts w:ascii="Symbol" w:hAnsi="Symbol" w:hint="default"/>
        <w:color w:val="auto"/>
      </w:rPr>
    </w:lvl>
    <w:lvl w:ilvl="1" w:tplc="0C090003" w:tentative="1">
      <w:start w:val="1"/>
      <w:numFmt w:val="bullet"/>
      <w:lvlText w:val="o"/>
      <w:lvlJc w:val="left"/>
      <w:pPr>
        <w:tabs>
          <w:tab w:val="num" w:pos="1514"/>
        </w:tabs>
        <w:ind w:left="1514" w:hanging="360"/>
      </w:pPr>
      <w:rPr>
        <w:rFonts w:ascii="Courier New" w:hAnsi="Courier New" w:hint="default"/>
      </w:rPr>
    </w:lvl>
    <w:lvl w:ilvl="2" w:tplc="0C090005" w:tentative="1">
      <w:start w:val="1"/>
      <w:numFmt w:val="bullet"/>
      <w:lvlText w:val=""/>
      <w:lvlJc w:val="left"/>
      <w:pPr>
        <w:tabs>
          <w:tab w:val="num" w:pos="2234"/>
        </w:tabs>
        <w:ind w:left="2234" w:hanging="360"/>
      </w:pPr>
      <w:rPr>
        <w:rFonts w:ascii="Wingdings" w:hAnsi="Wingdings" w:hint="default"/>
      </w:rPr>
    </w:lvl>
    <w:lvl w:ilvl="3" w:tplc="0C090001" w:tentative="1">
      <w:start w:val="1"/>
      <w:numFmt w:val="bullet"/>
      <w:lvlText w:val=""/>
      <w:lvlJc w:val="left"/>
      <w:pPr>
        <w:tabs>
          <w:tab w:val="num" w:pos="2954"/>
        </w:tabs>
        <w:ind w:left="2954" w:hanging="360"/>
      </w:pPr>
      <w:rPr>
        <w:rFonts w:ascii="Symbol" w:hAnsi="Symbol" w:hint="default"/>
      </w:rPr>
    </w:lvl>
    <w:lvl w:ilvl="4" w:tplc="0C090003" w:tentative="1">
      <w:start w:val="1"/>
      <w:numFmt w:val="bullet"/>
      <w:lvlText w:val="o"/>
      <w:lvlJc w:val="left"/>
      <w:pPr>
        <w:tabs>
          <w:tab w:val="num" w:pos="3674"/>
        </w:tabs>
        <w:ind w:left="3674" w:hanging="360"/>
      </w:pPr>
      <w:rPr>
        <w:rFonts w:ascii="Courier New" w:hAnsi="Courier New" w:hint="default"/>
      </w:rPr>
    </w:lvl>
    <w:lvl w:ilvl="5" w:tplc="0C090005" w:tentative="1">
      <w:start w:val="1"/>
      <w:numFmt w:val="bullet"/>
      <w:lvlText w:val=""/>
      <w:lvlJc w:val="left"/>
      <w:pPr>
        <w:tabs>
          <w:tab w:val="num" w:pos="4394"/>
        </w:tabs>
        <w:ind w:left="4394" w:hanging="360"/>
      </w:pPr>
      <w:rPr>
        <w:rFonts w:ascii="Wingdings" w:hAnsi="Wingdings" w:hint="default"/>
      </w:rPr>
    </w:lvl>
    <w:lvl w:ilvl="6" w:tplc="0C090001" w:tentative="1">
      <w:start w:val="1"/>
      <w:numFmt w:val="bullet"/>
      <w:lvlText w:val=""/>
      <w:lvlJc w:val="left"/>
      <w:pPr>
        <w:tabs>
          <w:tab w:val="num" w:pos="5114"/>
        </w:tabs>
        <w:ind w:left="5114" w:hanging="360"/>
      </w:pPr>
      <w:rPr>
        <w:rFonts w:ascii="Symbol" w:hAnsi="Symbol" w:hint="default"/>
      </w:rPr>
    </w:lvl>
    <w:lvl w:ilvl="7" w:tplc="0C090003" w:tentative="1">
      <w:start w:val="1"/>
      <w:numFmt w:val="bullet"/>
      <w:lvlText w:val="o"/>
      <w:lvlJc w:val="left"/>
      <w:pPr>
        <w:tabs>
          <w:tab w:val="num" w:pos="5834"/>
        </w:tabs>
        <w:ind w:left="5834" w:hanging="360"/>
      </w:pPr>
      <w:rPr>
        <w:rFonts w:ascii="Courier New" w:hAnsi="Courier New" w:hint="default"/>
      </w:rPr>
    </w:lvl>
    <w:lvl w:ilvl="8" w:tplc="0C090005" w:tentative="1">
      <w:start w:val="1"/>
      <w:numFmt w:val="bullet"/>
      <w:lvlText w:val=""/>
      <w:lvlJc w:val="left"/>
      <w:pPr>
        <w:tabs>
          <w:tab w:val="num" w:pos="6554"/>
        </w:tabs>
        <w:ind w:left="6554" w:hanging="360"/>
      </w:pPr>
      <w:rPr>
        <w:rFonts w:ascii="Wingdings" w:hAnsi="Wingdings" w:hint="default"/>
      </w:rPr>
    </w:lvl>
  </w:abstractNum>
  <w:num w:numId="1" w16cid:durableId="551696194">
    <w:abstractNumId w:val="41"/>
  </w:num>
  <w:num w:numId="2" w16cid:durableId="367490628">
    <w:abstractNumId w:val="46"/>
  </w:num>
  <w:num w:numId="3" w16cid:durableId="1593127163">
    <w:abstractNumId w:val="29"/>
  </w:num>
  <w:num w:numId="4" w16cid:durableId="994066699">
    <w:abstractNumId w:val="44"/>
  </w:num>
  <w:num w:numId="5" w16cid:durableId="2005433258">
    <w:abstractNumId w:val="34"/>
  </w:num>
  <w:num w:numId="6" w16cid:durableId="2119375147">
    <w:abstractNumId w:val="9"/>
  </w:num>
  <w:num w:numId="7" w16cid:durableId="1186216319">
    <w:abstractNumId w:val="11"/>
  </w:num>
  <w:num w:numId="8" w16cid:durableId="1930120977">
    <w:abstractNumId w:val="3"/>
  </w:num>
  <w:num w:numId="9" w16cid:durableId="2124952963">
    <w:abstractNumId w:val="24"/>
  </w:num>
  <w:num w:numId="10" w16cid:durableId="415127664">
    <w:abstractNumId w:val="37"/>
  </w:num>
  <w:num w:numId="11" w16cid:durableId="100225557">
    <w:abstractNumId w:val="35"/>
  </w:num>
  <w:num w:numId="12" w16cid:durableId="778181597">
    <w:abstractNumId w:val="33"/>
  </w:num>
  <w:num w:numId="13" w16cid:durableId="327370788">
    <w:abstractNumId w:val="2"/>
  </w:num>
  <w:num w:numId="14" w16cid:durableId="1412041022">
    <w:abstractNumId w:val="42"/>
  </w:num>
  <w:num w:numId="15" w16cid:durableId="763112841">
    <w:abstractNumId w:val="25"/>
  </w:num>
  <w:num w:numId="16" w16cid:durableId="481385891">
    <w:abstractNumId w:val="5"/>
  </w:num>
  <w:num w:numId="17" w16cid:durableId="2090300068">
    <w:abstractNumId w:val="15"/>
  </w:num>
  <w:num w:numId="18" w16cid:durableId="1009209965">
    <w:abstractNumId w:val="43"/>
  </w:num>
  <w:num w:numId="19" w16cid:durableId="1979801988">
    <w:abstractNumId w:val="7"/>
  </w:num>
  <w:num w:numId="20" w16cid:durableId="1350989042">
    <w:abstractNumId w:val="47"/>
  </w:num>
  <w:num w:numId="21" w16cid:durableId="938299067">
    <w:abstractNumId w:val="22"/>
  </w:num>
  <w:num w:numId="22" w16cid:durableId="301083075">
    <w:abstractNumId w:val="10"/>
  </w:num>
  <w:num w:numId="23" w16cid:durableId="1647859505">
    <w:abstractNumId w:val="21"/>
  </w:num>
  <w:num w:numId="24" w16cid:durableId="989866522">
    <w:abstractNumId w:val="16"/>
  </w:num>
  <w:num w:numId="25" w16cid:durableId="1914847487">
    <w:abstractNumId w:val="4"/>
  </w:num>
  <w:num w:numId="26" w16cid:durableId="1180658407">
    <w:abstractNumId w:val="28"/>
  </w:num>
  <w:num w:numId="27" w16cid:durableId="1590386706">
    <w:abstractNumId w:val="40"/>
  </w:num>
  <w:num w:numId="28" w16cid:durableId="1700010451">
    <w:abstractNumId w:val="17"/>
  </w:num>
  <w:num w:numId="29" w16cid:durableId="1497106702">
    <w:abstractNumId w:val="27"/>
  </w:num>
  <w:num w:numId="30" w16cid:durableId="33123156">
    <w:abstractNumId w:val="19"/>
  </w:num>
  <w:num w:numId="31" w16cid:durableId="1384673669">
    <w:abstractNumId w:val="8"/>
  </w:num>
  <w:num w:numId="32" w16cid:durableId="1345473357">
    <w:abstractNumId w:val="12"/>
  </w:num>
  <w:num w:numId="33" w16cid:durableId="379861030">
    <w:abstractNumId w:val="39"/>
  </w:num>
  <w:num w:numId="34" w16cid:durableId="1437020422">
    <w:abstractNumId w:val="6"/>
  </w:num>
  <w:num w:numId="35" w16cid:durableId="1808627933">
    <w:abstractNumId w:val="45"/>
  </w:num>
  <w:num w:numId="36" w16cid:durableId="368146297">
    <w:abstractNumId w:val="0"/>
  </w:num>
  <w:num w:numId="37" w16cid:durableId="743335675">
    <w:abstractNumId w:val="1"/>
  </w:num>
  <w:num w:numId="38" w16cid:durableId="2105684023">
    <w:abstractNumId w:val="32"/>
  </w:num>
  <w:num w:numId="39" w16cid:durableId="1998991088">
    <w:abstractNumId w:val="30"/>
  </w:num>
  <w:num w:numId="40" w16cid:durableId="1857884336">
    <w:abstractNumId w:val="13"/>
  </w:num>
  <w:num w:numId="41" w16cid:durableId="1373573751">
    <w:abstractNumId w:val="14"/>
  </w:num>
  <w:num w:numId="42" w16cid:durableId="223415983">
    <w:abstractNumId w:val="23"/>
  </w:num>
  <w:num w:numId="43" w16cid:durableId="312950980">
    <w:abstractNumId w:val="38"/>
  </w:num>
  <w:num w:numId="44" w16cid:durableId="1873030816">
    <w:abstractNumId w:val="18"/>
  </w:num>
  <w:num w:numId="45" w16cid:durableId="2007973732">
    <w:abstractNumId w:val="26"/>
  </w:num>
  <w:num w:numId="46" w16cid:durableId="531960926">
    <w:abstractNumId w:val="20"/>
  </w:num>
  <w:num w:numId="47" w16cid:durableId="453603541">
    <w:abstractNumId w:val="48"/>
  </w:num>
  <w:num w:numId="48" w16cid:durableId="1765566775">
    <w:abstractNumId w:val="31"/>
  </w:num>
  <w:num w:numId="49" w16cid:durableId="524833547">
    <w:abstractNumId w:val="3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FC5"/>
    <w:rsid w:val="001B5FC5"/>
    <w:rsid w:val="006811B9"/>
    <w:rsid w:val="00F04F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ity"/>
  <w:smartTagType w:namespaceuri="urn:schemas-microsoft-com:office:smarttags" w:name="State"/>
  <w:shapeDefaults>
    <o:shapedefaults v:ext="edit" spidmax="1029"/>
    <o:shapelayout v:ext="edit">
      <o:idmap v:ext="edit" data="1"/>
    </o:shapelayout>
  </w:shapeDefaults>
  <w:decimalSymbol w:val="."/>
  <w:listSeparator w:val=","/>
  <w14:docId w14:val="4D2ADA5F"/>
  <w14:defaultImageDpi w14:val="0"/>
  <w15:docId w15:val="{54DED84F-3A6F-49AF-A91F-41C63BF00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pPr>
    <w:rPr>
      <w:kern w:val="0"/>
      <w:sz w:val="24"/>
      <w:szCs w:val="24"/>
    </w:rPr>
  </w:style>
  <w:style w:type="paragraph" w:styleId="Heading1">
    <w:name w:val="heading 1"/>
    <w:basedOn w:val="Normal"/>
    <w:next w:val="Normal"/>
    <w:link w:val="Heading1Char"/>
    <w:uiPriority w:val="99"/>
    <w:qFormat/>
    <w:pPr>
      <w:keepNext/>
      <w:outlineLvl w:val="0"/>
    </w:pPr>
    <w:rPr>
      <w:rFonts w:cs="Arial"/>
      <w:b/>
      <w:bCs/>
      <w:kern w:val="32"/>
      <w:szCs w:val="32"/>
    </w:rPr>
  </w:style>
  <w:style w:type="paragraph" w:styleId="Heading2">
    <w:name w:val="heading 2"/>
    <w:basedOn w:val="Normal"/>
    <w:next w:val="Normal"/>
    <w:link w:val="Heading2Char"/>
    <w:uiPriority w:val="99"/>
    <w:qFormat/>
    <w:pPr>
      <w:keepNext/>
      <w:spacing w:before="240"/>
      <w:outlineLvl w:val="1"/>
    </w:pPr>
    <w:rPr>
      <w:rFonts w:cs="Arial"/>
      <w:b/>
      <w:bCs/>
      <w:iCs/>
      <w:szCs w:val="28"/>
    </w:rPr>
  </w:style>
  <w:style w:type="paragraph" w:styleId="Heading3">
    <w:name w:val="heading 3"/>
    <w:basedOn w:val="Normal"/>
    <w:next w:val="Normal"/>
    <w:link w:val="Heading3Char"/>
    <w:uiPriority w:val="99"/>
    <w:qFormat/>
    <w:pPr>
      <w:keepNext/>
      <w:spacing w:before="240" w:after="60"/>
      <w:outlineLvl w:val="2"/>
    </w:pPr>
    <w:rPr>
      <w:rFonts w:cs="Arial"/>
      <w:bCs/>
      <w:i/>
      <w:szCs w:val="26"/>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imes New Roman"/>
      <w:b/>
      <w:bCs/>
      <w:i/>
      <w:iCs/>
      <w:kern w:val="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imes New Roman"/>
      <w:b/>
      <w:bCs/>
      <w:kern w:val="0"/>
      <w:sz w:val="26"/>
      <w:szCs w:val="26"/>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Segoe UI" w:hAnsi="Segoe UI" w:cs="Segoe UI"/>
      <w:kern w:val="0"/>
      <w:sz w:val="18"/>
      <w:szCs w:val="18"/>
    </w:rPr>
  </w:style>
  <w:style w:type="character" w:styleId="Hyperlink">
    <w:name w:val="Hyperlink"/>
    <w:basedOn w:val="DefaultParagraphFont"/>
    <w:uiPriority w:val="99"/>
    <w:rPr>
      <w:rFonts w:cs="Times New Roman"/>
      <w:color w:val="0000FF"/>
      <w:u w:val="single"/>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semiHidden/>
    <w:pPr>
      <w:spacing w:before="60" w:after="180" w:line="360" w:lineRule="auto"/>
      <w:jc w:val="both"/>
    </w:pPr>
    <w:rPr>
      <w:rFonts w:ascii="Garamond" w:hAnsi="Garamond"/>
      <w:sz w:val="20"/>
      <w:szCs w:val="20"/>
    </w:rPr>
  </w:style>
  <w:style w:type="character" w:customStyle="1" w:styleId="CommentTextChar">
    <w:name w:val="Comment Text Char"/>
    <w:basedOn w:val="DefaultParagraphFont"/>
    <w:link w:val="CommentText"/>
    <w:uiPriority w:val="99"/>
    <w:semiHidden/>
    <w:rPr>
      <w:rFonts w:cs="Times New Roman"/>
      <w:kern w:val="0"/>
      <w:sz w:val="20"/>
      <w:szCs w:val="20"/>
    </w:rPr>
  </w:style>
  <w:style w:type="paragraph" w:styleId="BodyText">
    <w:name w:val="Body Text"/>
    <w:basedOn w:val="Normal"/>
    <w:link w:val="BodyTextChar"/>
    <w:uiPriority w:val="99"/>
    <w:pPr>
      <w:spacing w:before="0" w:after="0"/>
      <w:jc w:val="both"/>
    </w:pPr>
    <w:rPr>
      <w:rFonts w:ascii="Arial Narrow" w:hAnsi="Arial Narrow"/>
      <w:lang w:val="en" w:eastAsia="en-US"/>
    </w:rPr>
  </w:style>
  <w:style w:type="character" w:customStyle="1" w:styleId="BodyTextChar">
    <w:name w:val="Body Text Char"/>
    <w:basedOn w:val="DefaultParagraphFont"/>
    <w:link w:val="BodyText"/>
    <w:uiPriority w:val="99"/>
    <w:semiHidden/>
    <w:rPr>
      <w:rFonts w:cs="Times New Roman"/>
      <w:kern w:val="0"/>
      <w:sz w:val="24"/>
      <w:szCs w:val="24"/>
    </w:rPr>
  </w:style>
  <w:style w:type="table" w:styleId="TableGrid">
    <w:name w:val="Table Grid"/>
    <w:basedOn w:val="TableNormal"/>
    <w:uiPriority w:val="99"/>
    <w:pPr>
      <w:spacing w:before="120" w:after="12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rPr>
      <w:rFonts w:cs="Times New Roman"/>
      <w:kern w:val="0"/>
      <w:sz w:val="24"/>
      <w:szCs w:val="24"/>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rPr>
      <w:rFonts w:cs="Times New Roman"/>
      <w:kern w:val="0"/>
      <w:sz w:val="24"/>
      <w:szCs w:val="24"/>
    </w:rPr>
  </w:style>
  <w:style w:type="character" w:styleId="PageNumber">
    <w:name w:val="page number"/>
    <w:basedOn w:val="DefaultParagraphFont"/>
    <w:uiPriority w:val="99"/>
    <w:rPr>
      <w:rFonts w:cs="Times New Roman"/>
    </w:rPr>
  </w:style>
  <w:style w:type="paragraph" w:styleId="CommentSubject">
    <w:name w:val="annotation subject"/>
    <w:basedOn w:val="CommentText"/>
    <w:next w:val="CommentText"/>
    <w:link w:val="CommentSubjectChar"/>
    <w:uiPriority w:val="99"/>
    <w:semiHidden/>
    <w:pPr>
      <w:spacing w:before="120" w:after="120" w:line="240" w:lineRule="auto"/>
      <w:jc w:val="left"/>
    </w:pPr>
    <w:rPr>
      <w:rFonts w:ascii="Times New Roman" w:hAnsi="Times New Roman"/>
      <w:b/>
      <w:bCs/>
    </w:rPr>
  </w:style>
  <w:style w:type="character" w:customStyle="1" w:styleId="CommentSubjectChar">
    <w:name w:val="Comment Subject Char"/>
    <w:basedOn w:val="CommentTextChar"/>
    <w:link w:val="CommentSubject"/>
    <w:uiPriority w:val="99"/>
    <w:semiHidden/>
    <w:rPr>
      <w:rFonts w:cs="Times New Roman"/>
      <w:b/>
      <w:bCs/>
      <w:kern w:val="0"/>
      <w:sz w:val="20"/>
      <w:szCs w:val="2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rPr>
      <w:rFonts w:cs="Times New Roman"/>
      <w:kern w:val="0"/>
      <w:sz w:val="20"/>
      <w:szCs w:val="20"/>
    </w:rPr>
  </w:style>
  <w:style w:type="character" w:styleId="FootnoteReference">
    <w:name w:val="footnote reference"/>
    <w:basedOn w:val="DefaultParagraphFont"/>
    <w:uiPriority w:val="99"/>
    <w:semiHidden/>
    <w:rPr>
      <w:rFonts w:cs="Times New Roman"/>
      <w:vertAlign w:val="superscript"/>
    </w:rPr>
  </w:style>
  <w:style w:type="paragraph" w:customStyle="1" w:styleId="Title-EPBCPSbackground">
    <w:name w:val="Title-EPBC PS background"/>
    <w:basedOn w:val="Normal"/>
    <w:uiPriority w:val="99"/>
    <w:pPr>
      <w:spacing w:before="360" w:after="360"/>
      <w:outlineLvl w:val="0"/>
    </w:pPr>
    <w:rPr>
      <w:rFonts w:ascii="Arial" w:hAnsi="Arial" w:cs="Arial"/>
      <w:b/>
      <w:bCs/>
      <w:kern w:val="28"/>
      <w:sz w:val="28"/>
      <w:szCs w:val="32"/>
    </w:rPr>
  </w:style>
  <w:style w:type="paragraph" w:customStyle="1" w:styleId="Title-EPBCPS">
    <w:name w:val="Title - EPBC PS"/>
    <w:basedOn w:val="Title-EPBCPSbackground"/>
    <w:uiPriority w:val="99"/>
    <w:pPr>
      <w:jc w:val="right"/>
    </w:pPr>
  </w:style>
  <w:style w:type="paragraph" w:customStyle="1" w:styleId="StyleTitle-EPBCPSbackgroundRight">
    <w:name w:val="Style Title-EPBC PS background + Right"/>
    <w:basedOn w:val="Title-EPBCPSbackground"/>
    <w:uiPriority w:val="99"/>
    <w:pPr>
      <w:spacing w:before="120" w:after="120" w:line="360" w:lineRule="auto"/>
      <w:jc w:val="right"/>
    </w:pPr>
    <w:rPr>
      <w:rFonts w:cs="Times New Roman"/>
      <w:szCs w:val="20"/>
    </w:rPr>
  </w:style>
  <w:style w:type="paragraph" w:styleId="NormalWeb">
    <w:name w:val="Normal (Web)"/>
    <w:basedOn w:val="Normal"/>
    <w:uiPriority w:val="99"/>
    <w:pPr>
      <w:spacing w:before="100" w:beforeAutospacing="1" w:after="100" w:afterAutospacing="1"/>
    </w:pPr>
  </w:style>
  <w:style w:type="character" w:styleId="FollowedHyperlink">
    <w:name w:val="FollowedHyperlink"/>
    <w:basedOn w:val="DefaultParagraphFont"/>
    <w:uiPriority w:val="99"/>
    <w:rPr>
      <w:rFonts w:cs="Times New Roman"/>
      <w:color w:val="800080"/>
      <w:u w:val="single"/>
    </w:rPr>
  </w:style>
  <w:style w:type="paragraph" w:customStyle="1" w:styleId="instructional">
    <w:name w:val="instructional"/>
    <w:basedOn w:val="Normal"/>
    <w:link w:val="instructionalChar"/>
    <w:uiPriority w:val="99"/>
    <w:rPr>
      <w:color w:val="FF00FF"/>
      <w:sz w:val="20"/>
    </w:rPr>
  </w:style>
  <w:style w:type="paragraph" w:customStyle="1" w:styleId="box">
    <w:name w:val="box"/>
    <w:basedOn w:val="Normal"/>
    <w:uiPriority w:val="99"/>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before="240" w:after="240"/>
      <w:ind w:left="284" w:right="284"/>
    </w:pPr>
  </w:style>
  <w:style w:type="character" w:customStyle="1" w:styleId="instructionalChar">
    <w:name w:val="instructional Char"/>
    <w:basedOn w:val="DefaultParagraphFont"/>
    <w:link w:val="instructional"/>
    <w:uiPriority w:val="99"/>
    <w:locked/>
    <w:rPr>
      <w:rFonts w:cs="Times New Roman"/>
      <w:color w:val="FF00FF"/>
      <w:sz w:val="24"/>
      <w:szCs w:val="24"/>
      <w:lang w:val="en-AU" w:eastAsia="en-AU" w:bidi="ar-SA"/>
    </w:rPr>
  </w:style>
  <w:style w:type="paragraph" w:customStyle="1" w:styleId="References">
    <w:name w:val="References"/>
    <w:basedOn w:val="Normal"/>
    <w:uiPriority w:val="99"/>
    <w:pPr>
      <w:spacing w:before="60" w:after="60"/>
      <w:ind w:firstLine="720"/>
    </w:pPr>
  </w:style>
  <w:style w:type="paragraph" w:customStyle="1" w:styleId="Pa5">
    <w:name w:val="Pa5"/>
    <w:basedOn w:val="Normal"/>
    <w:next w:val="Normal"/>
    <w:uiPriority w:val="99"/>
    <w:pPr>
      <w:autoSpaceDE w:val="0"/>
      <w:autoSpaceDN w:val="0"/>
      <w:adjustRightInd w:val="0"/>
      <w:spacing w:before="0" w:after="0" w:line="141" w:lineRule="atLeast"/>
    </w:pPr>
    <w:rPr>
      <w:rFonts w:ascii="Arial" w:hAnsi="Arial"/>
    </w:rPr>
  </w:style>
  <w:style w:type="paragraph" w:styleId="Revision">
    <w:name w:val="Revision"/>
    <w:hidden/>
    <w:uiPriority w:val="99"/>
    <w:semiHidden/>
    <w:rsid w:val="001B5FC5"/>
    <w:pPr>
      <w:spacing w:after="0" w:line="240" w:lineRule="auto"/>
    </w:pPr>
    <w:rPr>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493986">
      <w:marLeft w:val="0"/>
      <w:marRight w:val="0"/>
      <w:marTop w:val="0"/>
      <w:marBottom w:val="0"/>
      <w:divBdr>
        <w:top w:val="none" w:sz="0" w:space="0" w:color="auto"/>
        <w:left w:val="none" w:sz="0" w:space="0" w:color="auto"/>
        <w:bottom w:val="none" w:sz="0" w:space="0" w:color="auto"/>
        <w:right w:val="none" w:sz="0" w:space="0" w:color="auto"/>
      </w:divBdr>
      <w:divsChild>
        <w:div w:id="6524939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environment.gov.au/epbc/assessments/process.html" TargetMode="External"/><Relationship Id="rId18" Type="http://schemas.openxmlformats.org/officeDocument/2006/relationships/hyperlink" Target="http://www.environment.gov.au/erin/ert/epbc/index.htm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hyperlink" Target="http://www.environment.gov.au/biodiversity/threatened/publications/tap/chytrid.html" TargetMode="External"/><Relationship Id="rId17" Type="http://schemas.openxmlformats.org/officeDocument/2006/relationships/hyperlink" Target="http://www.environment.nsw.gov.au/resources/nature/recoveryplanDraftSouthernBellFrog.pdf%2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nvironment.gov.au/biodiversity/threatened/publications/tap/chytrid.html"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environment.gov.au/biodiversity/threatened/publications/tap/pubs/chytrid-report.pdf" TargetMode="External"/><Relationship Id="rId23" Type="http://schemas.openxmlformats.org/officeDocument/2006/relationships/footer" Target="footer2.xml"/><Relationship Id="rId10" Type="http://schemas.openxmlformats.org/officeDocument/2006/relationships/hyperlink" Target="http://www.environment.gov.au/cgi-bin/sprat/public/sprat.pl" TargetMode="External"/><Relationship Id="rId19" Type="http://schemas.openxmlformats.org/officeDocument/2006/relationships/hyperlink" Target="http://www.environment.gov.au/cgi-bin/sprat/public/sprat.pl" TargetMode="External"/><Relationship Id="rId4" Type="http://schemas.openxmlformats.org/officeDocument/2006/relationships/webSettings" Target="webSettings.xml"/><Relationship Id="rId9" Type="http://schemas.openxmlformats.org/officeDocument/2006/relationships/hyperlink" Target="http://www.environment.gov.au" TargetMode="External"/><Relationship Id="rId14" Type="http://schemas.openxmlformats.org/officeDocument/2006/relationships/hyperlink" Target="http://www.environment.gov.au/epbc/guidelines-policies.html"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3481</Words>
  <Characters>20841</Characters>
  <Application>Microsoft Office Word</Application>
  <DocSecurity>4</DocSecurity>
  <Lines>173</Lines>
  <Paragraphs>48</Paragraphs>
  <ScaleCrop>false</ScaleCrop>
  <HeadingPairs>
    <vt:vector size="2" baseType="variant">
      <vt:variant>
        <vt:lpstr>Title</vt:lpstr>
      </vt:variant>
      <vt:variant>
        <vt:i4>1</vt:i4>
      </vt:variant>
    </vt:vector>
  </HeadingPairs>
  <TitlesOfParts>
    <vt:vector size="1" baseType="lpstr">
      <vt:lpstr>Significant impact guidelines for the vulnerable growling grass frog</vt:lpstr>
    </vt:vector>
  </TitlesOfParts>
  <Manager/>
  <Company/>
  <LinksUpToDate>false</LinksUpToDate>
  <CharactersWithSpaces>24274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Significant impact guidelines for the vulnerable growling grass frog</dc:title>
  <dc:subject/>
  <dc:creator>Department of the Environment, Water, Heritage and the Arts</dc:creator>
  <cp:keywords/>
  <dc:description/>
  <cp:lastModifiedBy>Durack, Bec</cp:lastModifiedBy>
  <cp:revision>2</cp:revision>
  <cp:lastPrinted>2009-06-16T23:23:00Z</cp:lastPrinted>
  <dcterms:created xsi:type="dcterms:W3CDTF">2023-11-30T05:54:00Z</dcterms:created>
  <dcterms:modified xsi:type="dcterms:W3CDTF">2023-11-30T05:54:00Z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al Keywords">
    <vt:lpwstr>policy statement</vt:lpwstr>
  </property>
  <property fmtid="{D5CDD505-2E9C-101B-9397-08002B2CF9AE}" pid="3" name="Publishing Section">
    <vt:lpwstr>Approvals and Wildlife Division</vt:lpwstr>
  </property>
  <property fmtid="{D5CDD505-2E9C-101B-9397-08002B2CF9AE}" pid="4" name="Keywords1">
    <vt:lpwstr>growling grass frog significant impact policy</vt:lpwstr>
  </property>
  <property fmtid="{D5CDD505-2E9C-101B-9397-08002B2CF9AE}" pid="5" name="Subject">
    <vt:lpwstr/>
  </property>
  <property fmtid="{D5CDD505-2E9C-101B-9397-08002B2CF9AE}" pid="6" name="Keywords">
    <vt:lpwstr/>
  </property>
  <property fmtid="{D5CDD505-2E9C-101B-9397-08002B2CF9AE}" pid="7" name="_Author">
    <vt:lpwstr>T Ward</vt:lpwstr>
  </property>
  <property fmtid="{D5CDD505-2E9C-101B-9397-08002B2CF9AE}" pid="8" name="_Category">
    <vt:lpwstr/>
  </property>
  <property fmtid="{D5CDD505-2E9C-101B-9397-08002B2CF9AE}" pid="9" name="Categories">
    <vt:lpwstr/>
  </property>
  <property fmtid="{D5CDD505-2E9C-101B-9397-08002B2CF9AE}" pid="10" name="Approval Level">
    <vt:lpwstr/>
  </property>
  <property fmtid="{D5CDD505-2E9C-101B-9397-08002B2CF9AE}" pid="11" name="_Comments">
    <vt:lpwstr/>
  </property>
  <property fmtid="{D5CDD505-2E9C-101B-9397-08002B2CF9AE}" pid="12" name="Assigned To">
    <vt:lpwstr/>
  </property>
</Properties>
</file>