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40F47E" w14:textId="77777777" w:rsidR="00AB2B19" w:rsidRDefault="00626CE5">
      <w:pPr>
        <w:spacing w:after="532"/>
        <w:ind w:left="3374" w:right="3293"/>
        <w:textAlignment w:val="baseline"/>
      </w:pPr>
      <w:r>
        <w:rPr>
          <w:noProof/>
        </w:rPr>
        <w:drawing>
          <wp:inline distT="0" distB="0" distL="0" distR="0" wp14:anchorId="2B492063" wp14:editId="51F377E0">
            <wp:extent cx="1114425" cy="923925"/>
            <wp:effectExtent l="0" t="0" r="9525" b="9525"/>
            <wp:docPr id="1"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Picture">
                      <a:extLst>
                        <a:ext uri="{C183D7F6-B498-43B3-948B-1728B52AA6E4}">
                          <adec:decorative xmlns:adec="http://schemas.microsoft.com/office/drawing/2017/decorative" val="1"/>
                        </a:ext>
                      </a:extLst>
                    </pic:cNvPr>
                    <pic:cNvPicPr preferRelativeResize="0"/>
                  </pic:nvPicPr>
                  <pic:blipFill>
                    <a:blip r:embed="rId10"/>
                    <a:stretch>
                      <a:fillRect/>
                    </a:stretch>
                  </pic:blipFill>
                  <pic:spPr>
                    <a:xfrm>
                      <a:off x="0" y="0"/>
                      <a:ext cx="1114425" cy="923925"/>
                    </a:xfrm>
                    <a:prstGeom prst="rect">
                      <a:avLst/>
                    </a:prstGeom>
                  </pic:spPr>
                </pic:pic>
              </a:graphicData>
            </a:graphic>
          </wp:inline>
        </w:drawing>
      </w:r>
    </w:p>
    <w:p w14:paraId="00F06589" w14:textId="77777777" w:rsidR="00AB2B19" w:rsidRPr="00F2035B" w:rsidRDefault="00626CE5">
      <w:pPr>
        <w:spacing w:before="2" w:line="253" w:lineRule="exact"/>
        <w:jc w:val="center"/>
        <w:textAlignment w:val="baseline"/>
        <w:rPr>
          <w:rFonts w:eastAsia="Times New Roman"/>
          <w:b/>
          <w:bCs/>
          <w:color w:val="000000"/>
          <w:sz w:val="23"/>
        </w:rPr>
      </w:pPr>
      <w:r w:rsidRPr="00F2035B">
        <w:rPr>
          <w:rFonts w:eastAsia="Times New Roman"/>
          <w:b/>
          <w:bCs/>
          <w:color w:val="000000"/>
          <w:sz w:val="23"/>
        </w:rPr>
        <w:t>Commonwealth of Australia</w:t>
      </w:r>
    </w:p>
    <w:p w14:paraId="2173F17E" w14:textId="318ACB2B" w:rsidR="00AB2B19" w:rsidRPr="00F2035B" w:rsidRDefault="00626CE5" w:rsidP="00F2035B">
      <w:pPr>
        <w:pStyle w:val="Title"/>
      </w:pPr>
      <w:r w:rsidRPr="00F2035B">
        <w:t xml:space="preserve">Statement of reasons for granting an exemption under section 158 of the </w:t>
      </w:r>
      <w:r w:rsidR="00F2035B" w:rsidRPr="00F2035B">
        <w:t>E</w:t>
      </w:r>
      <w:r w:rsidRPr="00F2035B">
        <w:t>nvironment</w:t>
      </w:r>
      <w:r w:rsidR="00F2035B" w:rsidRPr="00F2035B">
        <w:t xml:space="preserve"> </w:t>
      </w:r>
      <w:r w:rsidRPr="00F2035B">
        <w:t>protection and Biodiversity Conservation Act 1999 (</w:t>
      </w:r>
      <w:proofErr w:type="spellStart"/>
      <w:r w:rsidRPr="00F2035B">
        <w:t>Cth</w:t>
      </w:r>
      <w:proofErr w:type="spellEnd"/>
      <w:r w:rsidRPr="00F2035B">
        <w:t>)</w:t>
      </w:r>
    </w:p>
    <w:p w14:paraId="78043581" w14:textId="77777777" w:rsidR="00AB2B19" w:rsidRDefault="00626CE5">
      <w:pPr>
        <w:spacing w:before="152" w:line="292" w:lineRule="exact"/>
        <w:ind w:right="144"/>
        <w:textAlignment w:val="baseline"/>
        <w:rPr>
          <w:rFonts w:eastAsia="Times New Roman"/>
          <w:color w:val="000000"/>
          <w:spacing w:val="-4"/>
          <w:sz w:val="23"/>
        </w:rPr>
      </w:pPr>
      <w:r>
        <w:rPr>
          <w:rFonts w:eastAsia="Times New Roman"/>
          <w:color w:val="000000"/>
          <w:spacing w:val="-4"/>
          <w:sz w:val="23"/>
        </w:rPr>
        <w:t xml:space="preserve">I, Murray Watt, Minister for the Environment and Water (the </w:t>
      </w:r>
      <w:r>
        <w:rPr>
          <w:rFonts w:eastAsia="Times New Roman"/>
          <w:b/>
          <w:color w:val="000000"/>
          <w:spacing w:val="-4"/>
          <w:sz w:val="23"/>
        </w:rPr>
        <w:t xml:space="preserve">Minister), </w:t>
      </w:r>
      <w:r>
        <w:rPr>
          <w:rFonts w:eastAsia="Times New Roman"/>
          <w:color w:val="000000"/>
          <w:spacing w:val="-4"/>
          <w:sz w:val="23"/>
        </w:rPr>
        <w:t xml:space="preserve">provide these reasons for my decision under section 158 of the Environment Protection and Biodiversity Conservation Act 1999 (Cth) </w:t>
      </w:r>
      <w:r>
        <w:rPr>
          <w:rFonts w:eastAsia="Times New Roman"/>
          <w:b/>
          <w:color w:val="000000"/>
          <w:spacing w:val="-4"/>
          <w:sz w:val="23"/>
        </w:rPr>
        <w:t xml:space="preserve">(EPBC Act), </w:t>
      </w:r>
      <w:r>
        <w:rPr>
          <w:rFonts w:eastAsia="Times New Roman"/>
          <w:color w:val="000000"/>
          <w:spacing w:val="-4"/>
          <w:sz w:val="23"/>
        </w:rPr>
        <w:t>to exempt Alcoa, and any persons acting on behalf of Alcoa, from the application of all of the provisions of Part 3 and Parts 7 through 9 of the EPBC Act, in relation to the following action:</w:t>
      </w:r>
    </w:p>
    <w:p w14:paraId="54858D30" w14:textId="77777777" w:rsidR="00AB2B19" w:rsidRDefault="00626CE5">
      <w:pPr>
        <w:spacing w:before="150" w:line="292" w:lineRule="exact"/>
        <w:ind w:left="648" w:right="144"/>
        <w:textAlignment w:val="baseline"/>
        <w:rPr>
          <w:rFonts w:eastAsia="Times New Roman"/>
          <w:b/>
          <w:color w:val="000000"/>
          <w:spacing w:val="-4"/>
          <w:sz w:val="23"/>
        </w:rPr>
      </w:pPr>
      <w:r>
        <w:rPr>
          <w:rFonts w:eastAsia="Times New Roman"/>
          <w:b/>
          <w:color w:val="000000"/>
          <w:spacing w:val="-4"/>
          <w:sz w:val="23"/>
        </w:rPr>
        <w:t xml:space="preserve">Clearance </w:t>
      </w:r>
      <w:r>
        <w:rPr>
          <w:rFonts w:eastAsia="Times New Roman"/>
          <w:color w:val="000000"/>
          <w:spacing w:val="-4"/>
          <w:sz w:val="23"/>
        </w:rPr>
        <w:t xml:space="preserve">of up to 1200 hectares of vegetation associated with Alcoa's mining operations at Huntly and Willowdale within the areas marked blue at Attachment A on </w:t>
      </w:r>
      <w:r>
        <w:rPr>
          <w:rFonts w:eastAsia="Times New Roman"/>
          <w:b/>
          <w:color w:val="000000"/>
          <w:spacing w:val="-4"/>
          <w:sz w:val="23"/>
        </w:rPr>
        <w:t xml:space="preserve">ML1 SA </w:t>
      </w:r>
      <w:r>
        <w:rPr>
          <w:rFonts w:eastAsia="Times New Roman"/>
          <w:color w:val="000000"/>
          <w:spacing w:val="-4"/>
          <w:sz w:val="23"/>
        </w:rPr>
        <w:t xml:space="preserve">to the extent necessary to maintain </w:t>
      </w:r>
      <w:r>
        <w:rPr>
          <w:rFonts w:eastAsia="Times New Roman"/>
          <w:b/>
          <w:color w:val="000000"/>
          <w:spacing w:val="-4"/>
          <w:sz w:val="23"/>
        </w:rPr>
        <w:t xml:space="preserve">critical bauxite supply </w:t>
      </w:r>
      <w:r>
        <w:rPr>
          <w:rFonts w:eastAsia="Times New Roman"/>
          <w:color w:val="000000"/>
          <w:spacing w:val="-4"/>
          <w:sz w:val="23"/>
        </w:rPr>
        <w:t>to Alcoa's two alumina refineries located in Pinjarra and Wagerup for a period of 18 months from the date of the exemption notice.</w:t>
      </w:r>
    </w:p>
    <w:p w14:paraId="22863B4A" w14:textId="77777777" w:rsidR="00AB2B19" w:rsidRPr="00F2035B" w:rsidRDefault="00626CE5" w:rsidP="00F2035B">
      <w:pPr>
        <w:pStyle w:val="Heading1"/>
      </w:pPr>
      <w:r w:rsidRPr="00F2035B">
        <w:t>Definitions:</w:t>
      </w:r>
    </w:p>
    <w:p w14:paraId="129D38FD" w14:textId="77777777" w:rsidR="00AB2B19" w:rsidRDefault="00626CE5">
      <w:pPr>
        <w:spacing w:before="156" w:line="292" w:lineRule="exact"/>
        <w:ind w:left="648" w:right="576"/>
        <w:jc w:val="both"/>
        <w:textAlignment w:val="baseline"/>
        <w:rPr>
          <w:rFonts w:eastAsia="Times New Roman"/>
          <w:b/>
          <w:color w:val="000000"/>
          <w:sz w:val="23"/>
        </w:rPr>
      </w:pPr>
      <w:r>
        <w:rPr>
          <w:rFonts w:eastAsia="Times New Roman"/>
          <w:b/>
          <w:color w:val="000000"/>
          <w:sz w:val="23"/>
        </w:rPr>
        <w:t xml:space="preserve">Alcoa </w:t>
      </w:r>
      <w:r>
        <w:rPr>
          <w:rFonts w:eastAsia="Times New Roman"/>
          <w:color w:val="000000"/>
          <w:sz w:val="23"/>
        </w:rPr>
        <w:t>means the Australian public company Alcoa of Australia Limited (ABN: 93004879298)</w:t>
      </w:r>
    </w:p>
    <w:p w14:paraId="349FF0BE" w14:textId="77777777" w:rsidR="00AB2B19" w:rsidRDefault="00626CE5">
      <w:pPr>
        <w:spacing w:before="188" w:line="253" w:lineRule="exact"/>
        <w:ind w:left="648"/>
        <w:textAlignment w:val="baseline"/>
        <w:rPr>
          <w:rFonts w:eastAsia="Times New Roman"/>
          <w:b/>
          <w:color w:val="000000"/>
          <w:spacing w:val="-2"/>
          <w:sz w:val="23"/>
        </w:rPr>
      </w:pPr>
      <w:r>
        <w:rPr>
          <w:rFonts w:eastAsia="Times New Roman"/>
          <w:b/>
          <w:color w:val="000000"/>
          <w:spacing w:val="-2"/>
          <w:sz w:val="23"/>
        </w:rPr>
        <w:t xml:space="preserve">Clearance </w:t>
      </w:r>
      <w:r>
        <w:rPr>
          <w:rFonts w:eastAsia="Times New Roman"/>
          <w:color w:val="000000"/>
          <w:spacing w:val="-2"/>
          <w:sz w:val="23"/>
        </w:rPr>
        <w:t>means the killing, destruction or removal of vegetation</w:t>
      </w:r>
    </w:p>
    <w:p w14:paraId="76E370A7" w14:textId="77777777" w:rsidR="00AB2B19" w:rsidRDefault="00626CE5">
      <w:pPr>
        <w:spacing w:before="152" w:line="292" w:lineRule="exact"/>
        <w:ind w:left="648" w:right="216"/>
        <w:textAlignment w:val="baseline"/>
        <w:rPr>
          <w:rFonts w:eastAsia="Times New Roman"/>
          <w:b/>
          <w:color w:val="000000"/>
          <w:sz w:val="23"/>
        </w:rPr>
      </w:pPr>
      <w:r>
        <w:rPr>
          <w:rFonts w:eastAsia="Times New Roman"/>
          <w:b/>
          <w:color w:val="000000"/>
          <w:sz w:val="23"/>
        </w:rPr>
        <w:t xml:space="preserve">Critical bauxite supply </w:t>
      </w:r>
      <w:r>
        <w:rPr>
          <w:rFonts w:eastAsia="Times New Roman"/>
          <w:color w:val="000000"/>
          <w:sz w:val="23"/>
        </w:rPr>
        <w:t>means the minimum supply of bauxite needed to maintain refining operations</w:t>
      </w:r>
    </w:p>
    <w:p w14:paraId="0E65A963" w14:textId="77777777" w:rsidR="00AB2B19" w:rsidRDefault="00626CE5">
      <w:pPr>
        <w:spacing w:before="188" w:line="253" w:lineRule="exact"/>
        <w:ind w:left="648"/>
        <w:textAlignment w:val="baseline"/>
        <w:rPr>
          <w:rFonts w:eastAsia="Times New Roman"/>
          <w:b/>
          <w:color w:val="000000"/>
          <w:spacing w:val="-2"/>
          <w:sz w:val="23"/>
        </w:rPr>
      </w:pPr>
      <w:r>
        <w:rPr>
          <w:rFonts w:eastAsia="Times New Roman"/>
          <w:b/>
          <w:color w:val="000000"/>
          <w:spacing w:val="-2"/>
          <w:sz w:val="23"/>
        </w:rPr>
        <w:t xml:space="preserve">MLISA </w:t>
      </w:r>
      <w:r>
        <w:rPr>
          <w:rFonts w:eastAsia="Times New Roman"/>
          <w:color w:val="000000"/>
          <w:spacing w:val="-2"/>
          <w:sz w:val="23"/>
        </w:rPr>
        <w:t>means the area designated as MLISA at Attachment A</w:t>
      </w:r>
    </w:p>
    <w:p w14:paraId="6D1FF209" w14:textId="77777777" w:rsidR="00AB2B19" w:rsidRPr="00F2035B" w:rsidRDefault="00626CE5" w:rsidP="00F2035B">
      <w:pPr>
        <w:pStyle w:val="Heading1"/>
      </w:pPr>
      <w:r w:rsidRPr="00F2035B">
        <w:t>Background</w:t>
      </w:r>
    </w:p>
    <w:p w14:paraId="7D953083" w14:textId="77777777" w:rsidR="00AB2B19" w:rsidRPr="00F2035B" w:rsidRDefault="00626CE5" w:rsidP="00F2035B">
      <w:pPr>
        <w:pStyle w:val="Heading2"/>
      </w:pPr>
      <w:r w:rsidRPr="00F2035B">
        <w:t>The Huntly and Willowdale Mining Operations and the application of the EPBC Act</w:t>
      </w:r>
    </w:p>
    <w:p w14:paraId="5F730B7F" w14:textId="77777777" w:rsidR="00AB2B19" w:rsidRDefault="00626CE5">
      <w:pPr>
        <w:numPr>
          <w:ilvl w:val="0"/>
          <w:numId w:val="1"/>
        </w:numPr>
        <w:spacing w:before="153" w:line="292" w:lineRule="exact"/>
        <w:ind w:left="504" w:right="72" w:hanging="504"/>
        <w:textAlignment w:val="baseline"/>
        <w:rPr>
          <w:rFonts w:eastAsia="Times New Roman"/>
          <w:color w:val="000000"/>
          <w:spacing w:val="-5"/>
          <w:sz w:val="23"/>
        </w:rPr>
      </w:pPr>
      <w:r>
        <w:rPr>
          <w:rFonts w:eastAsia="Times New Roman"/>
          <w:color w:val="000000"/>
          <w:spacing w:val="-5"/>
          <w:sz w:val="23"/>
        </w:rPr>
        <w:t xml:space="preserve">Alcoa of Australia Limited </w:t>
      </w:r>
      <w:r>
        <w:rPr>
          <w:rFonts w:eastAsia="Times New Roman"/>
          <w:b/>
          <w:color w:val="000000"/>
          <w:spacing w:val="-5"/>
          <w:sz w:val="23"/>
        </w:rPr>
        <w:t xml:space="preserve">(Alcoa) </w:t>
      </w:r>
      <w:r>
        <w:rPr>
          <w:rFonts w:eastAsia="Times New Roman"/>
          <w:color w:val="000000"/>
          <w:spacing w:val="-5"/>
          <w:sz w:val="23"/>
        </w:rPr>
        <w:t>have been operating at the Huntly and Willowdale mining operations since 1963. Both mining operations relate to the mining of bauxite.</w:t>
      </w:r>
    </w:p>
    <w:p w14:paraId="5B8CF55B" w14:textId="4C269F66" w:rsidR="00AB2B19" w:rsidRDefault="00626CE5">
      <w:pPr>
        <w:numPr>
          <w:ilvl w:val="0"/>
          <w:numId w:val="1"/>
        </w:numPr>
        <w:spacing w:before="148" w:line="292" w:lineRule="exact"/>
        <w:ind w:left="504" w:right="216" w:hanging="504"/>
        <w:textAlignment w:val="baseline"/>
        <w:rPr>
          <w:rFonts w:eastAsia="Times New Roman"/>
          <w:color w:val="000000"/>
          <w:spacing w:val="-5"/>
          <w:sz w:val="23"/>
        </w:rPr>
      </w:pPr>
      <w:r>
        <w:rPr>
          <w:rFonts w:eastAsia="Times New Roman"/>
          <w:color w:val="000000"/>
          <w:spacing w:val="-5"/>
          <w:sz w:val="23"/>
        </w:rPr>
        <w:t>Both mining operations are within the mining lease ML</w:t>
      </w:r>
      <w:r w:rsidR="004951C3">
        <w:rPr>
          <w:rFonts w:eastAsia="Times New Roman"/>
          <w:color w:val="000000"/>
          <w:spacing w:val="-5"/>
          <w:sz w:val="23"/>
        </w:rPr>
        <w:t>1</w:t>
      </w:r>
      <w:r>
        <w:rPr>
          <w:rFonts w:eastAsia="Times New Roman"/>
          <w:color w:val="000000"/>
          <w:spacing w:val="-5"/>
          <w:sz w:val="23"/>
        </w:rPr>
        <w:t xml:space="preserve">SA, and are presently regulated through rolling five-year Mining Management Plans (MMPs), which are required under the </w:t>
      </w:r>
      <w:r>
        <w:rPr>
          <w:rFonts w:eastAsia="Times New Roman"/>
          <w:i/>
          <w:color w:val="000000"/>
          <w:spacing w:val="-5"/>
          <w:sz w:val="23"/>
        </w:rPr>
        <w:t xml:space="preserve">Alumina Refinery Agreement Act 1961 (WA) </w:t>
      </w:r>
      <w:r>
        <w:rPr>
          <w:rFonts w:eastAsia="Times New Roman"/>
          <w:color w:val="000000"/>
          <w:spacing w:val="-5"/>
          <w:sz w:val="23"/>
        </w:rPr>
        <w:t xml:space="preserve">(in relation to the Huntly mining operation) and the </w:t>
      </w:r>
      <w:r>
        <w:rPr>
          <w:rFonts w:eastAsia="Times New Roman"/>
          <w:i/>
          <w:color w:val="000000"/>
          <w:spacing w:val="-5"/>
          <w:sz w:val="23"/>
        </w:rPr>
        <w:t xml:space="preserve">Alumina Refinery (Wagerup) Agreement Act 1978 (WA). The </w:t>
      </w:r>
      <w:r>
        <w:rPr>
          <w:rFonts w:eastAsia="Times New Roman"/>
          <w:color w:val="000000"/>
          <w:spacing w:val="-5"/>
          <w:sz w:val="23"/>
        </w:rPr>
        <w:t>Western Australian Environmental Protection Authority are currently undertaking assessments and decision-making processes in relation to the operations,</w:t>
      </w:r>
    </w:p>
    <w:p w14:paraId="20E0456D" w14:textId="77777777" w:rsidR="00AB2B19" w:rsidRDefault="00AB2B19">
      <w:pPr>
        <w:sectPr w:rsidR="00AB2B19">
          <w:headerReference w:type="even" r:id="rId11"/>
          <w:footerReference w:type="even" r:id="rId12"/>
          <w:headerReference w:type="first" r:id="rId13"/>
          <w:footerReference w:type="first" r:id="rId14"/>
          <w:pgSz w:w="11904" w:h="16834"/>
          <w:pgMar w:top="920" w:right="1814" w:bottom="598" w:left="1810" w:header="720" w:footer="720" w:gutter="0"/>
          <w:cols w:space="720"/>
        </w:sectPr>
      </w:pPr>
    </w:p>
    <w:p w14:paraId="56D427A2" w14:textId="0A65CEF8" w:rsidR="00AB2B19" w:rsidRDefault="00AB2B19">
      <w:pPr>
        <w:spacing w:before="12" w:line="258" w:lineRule="exact"/>
        <w:jc w:val="center"/>
        <w:textAlignment w:val="baseline"/>
        <w:rPr>
          <w:rFonts w:ascii="Verdana" w:eastAsia="Verdana" w:hAnsi="Verdana"/>
          <w:color w:val="BF262E"/>
          <w:spacing w:val="-4"/>
          <w:sz w:val="21"/>
        </w:rPr>
      </w:pPr>
    </w:p>
    <w:p w14:paraId="2401652B" w14:textId="77777777" w:rsidR="00AB2B19" w:rsidRDefault="00626CE5">
      <w:pPr>
        <w:spacing w:before="837" w:line="317" w:lineRule="exact"/>
        <w:ind w:left="504" w:right="648"/>
        <w:textAlignment w:val="baseline"/>
        <w:rPr>
          <w:rFonts w:eastAsia="Times New Roman"/>
          <w:color w:val="000000"/>
          <w:sz w:val="24"/>
        </w:rPr>
      </w:pPr>
      <w:r>
        <w:rPr>
          <w:rFonts w:eastAsia="Times New Roman"/>
          <w:color w:val="000000"/>
          <w:sz w:val="24"/>
        </w:rPr>
        <w:t>and while this occurs a State Exemption Order is in place which permits Alcoa to continue the operations subject to an annual clearing limit of 800 ha and strict conditions relating to avoidance and mitigation measures with which Alcoa must comply.</w:t>
      </w:r>
    </w:p>
    <w:p w14:paraId="6492EB00" w14:textId="77777777" w:rsidR="00AB2B19" w:rsidRDefault="00626CE5">
      <w:pPr>
        <w:tabs>
          <w:tab w:val="left" w:pos="576"/>
        </w:tabs>
        <w:spacing w:before="171" w:line="317" w:lineRule="exact"/>
        <w:ind w:left="504" w:hanging="504"/>
        <w:textAlignment w:val="baseline"/>
        <w:rPr>
          <w:rFonts w:eastAsia="Times New Roman"/>
          <w:color w:val="000000"/>
          <w:sz w:val="24"/>
        </w:rPr>
      </w:pPr>
      <w:r>
        <w:rPr>
          <w:rFonts w:eastAsia="Times New Roman"/>
          <w:color w:val="000000"/>
          <w:sz w:val="24"/>
        </w:rPr>
        <w:t>3.</w:t>
      </w:r>
      <w:r>
        <w:rPr>
          <w:rFonts w:eastAsia="Times New Roman"/>
          <w:color w:val="000000"/>
          <w:sz w:val="24"/>
        </w:rPr>
        <w:tab/>
        <w:t xml:space="preserve">As the Huntly and Willowdale mining operations commenced prior to the implementation of the EPBC Act, Alcoa has continued operations on the presumed basis that either s 43A or s 43B of the EPBC Act (as in force prior to 1 December 2025) </w:t>
      </w:r>
      <w:r>
        <w:rPr>
          <w:rFonts w:eastAsia="Times New Roman"/>
          <w:b/>
          <w:color w:val="000000"/>
          <w:sz w:val="24"/>
        </w:rPr>
        <w:t xml:space="preserve">(continuous use exemptions) </w:t>
      </w:r>
      <w:r>
        <w:rPr>
          <w:rFonts w:eastAsia="Times New Roman"/>
          <w:color w:val="000000"/>
          <w:sz w:val="24"/>
        </w:rPr>
        <w:t>applied, and therefore Alcoa did not need any approval under the EPBC Act to continue operations.</w:t>
      </w:r>
    </w:p>
    <w:p w14:paraId="734E4AAB" w14:textId="77777777" w:rsidR="00AB2B19" w:rsidRDefault="00626CE5">
      <w:pPr>
        <w:tabs>
          <w:tab w:val="left" w:pos="576"/>
        </w:tabs>
        <w:spacing w:before="164" w:line="317" w:lineRule="exact"/>
        <w:ind w:left="504" w:hanging="504"/>
        <w:textAlignment w:val="baseline"/>
        <w:rPr>
          <w:rFonts w:eastAsia="Times New Roman"/>
          <w:color w:val="000000"/>
          <w:sz w:val="24"/>
        </w:rPr>
      </w:pPr>
      <w:r>
        <w:rPr>
          <w:rFonts w:eastAsia="Times New Roman"/>
          <w:color w:val="000000"/>
          <w:sz w:val="24"/>
        </w:rPr>
        <w:t>4.</w:t>
      </w:r>
      <w:r>
        <w:rPr>
          <w:rFonts w:eastAsia="Times New Roman"/>
          <w:color w:val="000000"/>
          <w:sz w:val="24"/>
        </w:rPr>
        <w:tab/>
        <w:t>Since 2011, the department has taken the view that the continuous use exemptions did not apply to the Huntly and Willowdale mining operations, and has engaged with Alcoa regarding this. Alcoa took, and maintains, that the continuous use exemptions applied to the Huntly and Willowdale mining operations.</w:t>
      </w:r>
    </w:p>
    <w:p w14:paraId="1D938300" w14:textId="77777777" w:rsidR="00AB2B19" w:rsidRDefault="00626CE5">
      <w:pPr>
        <w:tabs>
          <w:tab w:val="left" w:pos="576"/>
        </w:tabs>
        <w:spacing w:before="164" w:line="317" w:lineRule="exact"/>
        <w:ind w:left="504" w:right="360" w:hanging="504"/>
        <w:textAlignment w:val="baseline"/>
        <w:rPr>
          <w:rFonts w:eastAsia="Times New Roman"/>
          <w:color w:val="000000"/>
          <w:sz w:val="24"/>
        </w:rPr>
      </w:pPr>
      <w:r>
        <w:rPr>
          <w:rFonts w:eastAsia="Times New Roman"/>
          <w:color w:val="000000"/>
          <w:sz w:val="24"/>
        </w:rPr>
        <w:t>5.</w:t>
      </w:r>
      <w:r>
        <w:rPr>
          <w:rFonts w:eastAsia="Times New Roman"/>
          <w:color w:val="000000"/>
          <w:sz w:val="24"/>
        </w:rPr>
        <w:tab/>
        <w:t xml:space="preserve">On 1 December 2025, amendments were made to the EPBC Act, including the continuous use provisions. </w:t>
      </w:r>
      <w:proofErr w:type="gramStart"/>
      <w:r>
        <w:rPr>
          <w:rFonts w:eastAsia="Times New Roman"/>
          <w:color w:val="000000"/>
          <w:sz w:val="24"/>
        </w:rPr>
        <w:t>In particular, s</w:t>
      </w:r>
      <w:proofErr w:type="gramEnd"/>
      <w:r>
        <w:rPr>
          <w:rFonts w:eastAsia="Times New Roman"/>
          <w:color w:val="000000"/>
          <w:sz w:val="24"/>
        </w:rPr>
        <w:t xml:space="preserve"> 43B now provides that the continuous use exemption does not apply to an action if:</w:t>
      </w:r>
    </w:p>
    <w:p w14:paraId="3F155AA9" w14:textId="77777777" w:rsidR="00AB2B19" w:rsidRDefault="00626CE5">
      <w:pPr>
        <w:numPr>
          <w:ilvl w:val="0"/>
          <w:numId w:val="2"/>
        </w:numPr>
        <w:tabs>
          <w:tab w:val="clear" w:pos="576"/>
          <w:tab w:val="left" w:pos="1728"/>
        </w:tabs>
        <w:spacing w:before="195" w:line="263" w:lineRule="exact"/>
        <w:ind w:left="1728" w:hanging="576"/>
        <w:textAlignment w:val="baseline"/>
        <w:rPr>
          <w:rFonts w:eastAsia="Times New Roman"/>
          <w:i/>
          <w:color w:val="000000"/>
          <w:spacing w:val="-7"/>
          <w:sz w:val="24"/>
        </w:rPr>
      </w:pPr>
      <w:r>
        <w:rPr>
          <w:rFonts w:eastAsia="Times New Roman"/>
          <w:i/>
          <w:color w:val="000000"/>
          <w:spacing w:val="-7"/>
          <w:sz w:val="24"/>
        </w:rPr>
        <w:t>the action consists of or involves, clearing vegetation from land; and</w:t>
      </w:r>
    </w:p>
    <w:p w14:paraId="3143E00F" w14:textId="77777777" w:rsidR="00AB2B19" w:rsidRDefault="00626CE5">
      <w:pPr>
        <w:numPr>
          <w:ilvl w:val="0"/>
          <w:numId w:val="2"/>
        </w:numPr>
        <w:tabs>
          <w:tab w:val="clear" w:pos="576"/>
          <w:tab w:val="left" w:pos="1728"/>
        </w:tabs>
        <w:spacing w:before="162" w:line="291" w:lineRule="exact"/>
        <w:ind w:left="1728" w:right="360" w:hanging="576"/>
        <w:textAlignment w:val="baseline"/>
        <w:rPr>
          <w:rFonts w:eastAsia="Times New Roman"/>
          <w:i/>
          <w:color w:val="000000"/>
          <w:spacing w:val="-9"/>
          <w:sz w:val="24"/>
        </w:rPr>
      </w:pPr>
      <w:r>
        <w:rPr>
          <w:rFonts w:eastAsia="Times New Roman"/>
          <w:i/>
          <w:color w:val="000000"/>
          <w:spacing w:val="-9"/>
          <w:sz w:val="24"/>
        </w:rPr>
        <w:t>at the time the action is taken, the land has not been cleared of vegetation for a period of at least 15 years; and</w:t>
      </w:r>
    </w:p>
    <w:p w14:paraId="13F7710D" w14:textId="77777777" w:rsidR="00AB2B19" w:rsidRDefault="00626CE5">
      <w:pPr>
        <w:numPr>
          <w:ilvl w:val="0"/>
          <w:numId w:val="2"/>
        </w:numPr>
        <w:tabs>
          <w:tab w:val="clear" w:pos="576"/>
          <w:tab w:val="left" w:pos="1728"/>
        </w:tabs>
        <w:spacing w:before="186" w:line="263" w:lineRule="exact"/>
        <w:ind w:left="1728" w:hanging="576"/>
        <w:textAlignment w:val="baseline"/>
        <w:rPr>
          <w:rFonts w:eastAsia="Times New Roman"/>
          <w:i/>
          <w:color w:val="000000"/>
          <w:spacing w:val="-8"/>
          <w:sz w:val="24"/>
        </w:rPr>
      </w:pPr>
      <w:r>
        <w:rPr>
          <w:rFonts w:eastAsia="Times New Roman"/>
          <w:i/>
          <w:color w:val="000000"/>
          <w:spacing w:val="-8"/>
          <w:sz w:val="24"/>
        </w:rPr>
        <w:t>the action is not a forestry operation.</w:t>
      </w:r>
    </w:p>
    <w:p w14:paraId="16B8ABC9" w14:textId="77777777" w:rsidR="00AB2B19" w:rsidRDefault="00626CE5">
      <w:pPr>
        <w:tabs>
          <w:tab w:val="left" w:pos="576"/>
        </w:tabs>
        <w:spacing w:before="162" w:line="317" w:lineRule="exact"/>
        <w:ind w:left="504" w:hanging="504"/>
        <w:textAlignment w:val="baseline"/>
        <w:rPr>
          <w:rFonts w:eastAsia="Times New Roman"/>
          <w:color w:val="000000"/>
          <w:sz w:val="24"/>
        </w:rPr>
      </w:pPr>
      <w:r>
        <w:rPr>
          <w:rFonts w:eastAsia="Times New Roman"/>
          <w:color w:val="000000"/>
          <w:sz w:val="24"/>
        </w:rPr>
        <w:t>6.</w:t>
      </w:r>
      <w:r>
        <w:rPr>
          <w:rFonts w:eastAsia="Times New Roman"/>
          <w:color w:val="000000"/>
          <w:sz w:val="24"/>
        </w:rPr>
        <w:tab/>
        <w:t xml:space="preserve">Alcoa now accepts that it requires EPBC Act approvals for the Huntly and Willowdale mining operations. Alcoa has </w:t>
      </w:r>
      <w:proofErr w:type="gramStart"/>
      <w:r>
        <w:rPr>
          <w:rFonts w:eastAsia="Times New Roman"/>
          <w:color w:val="000000"/>
          <w:sz w:val="24"/>
        </w:rPr>
        <w:t>submitted an application</w:t>
      </w:r>
      <w:proofErr w:type="gramEnd"/>
      <w:r>
        <w:rPr>
          <w:rFonts w:eastAsia="Times New Roman"/>
          <w:color w:val="000000"/>
          <w:sz w:val="24"/>
        </w:rPr>
        <w:t xml:space="preserve"> under Part 10 of the EPBC Act to undertake a strategic assessment of the impacts of actions or classes of actions to be taken to conduct mining operations and ancillary activities for the Huntly and Willowdale mines through to 2045. The Strategic Assessment includes the action subject of this request for an exemption but excludes the areas already contained within the existing referral EPBC 2022/09204, which is being assessed under an accredited assessment with the EPA Western Australia.</w:t>
      </w:r>
    </w:p>
    <w:p w14:paraId="45A2EA01" w14:textId="77777777" w:rsidR="00AB2B19" w:rsidRDefault="00626CE5">
      <w:pPr>
        <w:tabs>
          <w:tab w:val="left" w:pos="576"/>
        </w:tabs>
        <w:spacing w:before="167" w:line="317" w:lineRule="exact"/>
        <w:ind w:left="504" w:right="144" w:hanging="504"/>
        <w:textAlignment w:val="baseline"/>
        <w:rPr>
          <w:rFonts w:eastAsia="Times New Roman"/>
          <w:color w:val="000000"/>
          <w:sz w:val="24"/>
        </w:rPr>
      </w:pPr>
      <w:r>
        <w:rPr>
          <w:rFonts w:eastAsia="Times New Roman"/>
          <w:color w:val="000000"/>
          <w:sz w:val="24"/>
        </w:rPr>
        <w:t>7.</w:t>
      </w:r>
      <w:r>
        <w:rPr>
          <w:rFonts w:eastAsia="Times New Roman"/>
          <w:color w:val="000000"/>
          <w:sz w:val="24"/>
        </w:rPr>
        <w:tab/>
        <w:t>However, Alcoa states that, as a result of the amendments to the EPBC Act, it has not had an opportunity to assess its immediate clearing activities against Part 3 of the EPBC Act, and, critically, it is not possible to maintain ongoing supply of bauxite to its refineries at Pinjarra and Wagerup without clearing in advance of the mining.</w:t>
      </w:r>
    </w:p>
    <w:p w14:paraId="15F7F3BE" w14:textId="77777777" w:rsidR="00AB2B19" w:rsidRDefault="00626CE5">
      <w:pPr>
        <w:spacing w:before="50" w:line="268" w:lineRule="exact"/>
        <w:ind w:left="504"/>
        <w:textAlignment w:val="baseline"/>
        <w:rPr>
          <w:rFonts w:eastAsia="Times New Roman"/>
          <w:color w:val="000000"/>
          <w:sz w:val="24"/>
        </w:rPr>
      </w:pPr>
      <w:r>
        <w:rPr>
          <w:rFonts w:eastAsia="Times New Roman"/>
          <w:color w:val="000000"/>
          <w:sz w:val="24"/>
        </w:rPr>
        <w:t>Therefore, Alcoa is in the position of being unable to continue its operations.</w:t>
      </w:r>
    </w:p>
    <w:p w14:paraId="644E8F85" w14:textId="77777777" w:rsidR="00AB2B19" w:rsidRDefault="00626CE5">
      <w:pPr>
        <w:tabs>
          <w:tab w:val="left" w:pos="576"/>
        </w:tabs>
        <w:spacing w:before="160" w:line="317" w:lineRule="exact"/>
        <w:ind w:left="504" w:right="216" w:hanging="504"/>
        <w:textAlignment w:val="baseline"/>
        <w:rPr>
          <w:rFonts w:eastAsia="Times New Roman"/>
          <w:color w:val="000000"/>
          <w:sz w:val="24"/>
        </w:rPr>
      </w:pPr>
      <w:r>
        <w:rPr>
          <w:rFonts w:eastAsia="Times New Roman"/>
          <w:color w:val="000000"/>
          <w:sz w:val="24"/>
        </w:rPr>
        <w:t>8.</w:t>
      </w:r>
      <w:r>
        <w:rPr>
          <w:rFonts w:eastAsia="Times New Roman"/>
          <w:color w:val="000000"/>
          <w:sz w:val="24"/>
        </w:rPr>
        <w:tab/>
        <w:t>It is against this context that, on 30 January 2026, Alcoa made an application for an exemption under s 158 of the EPBC Act. On 18 February 2026, I decided to grant the exemption for the reasons explained in this statement.</w:t>
      </w:r>
    </w:p>
    <w:p w14:paraId="34E4D6CE" w14:textId="77777777" w:rsidR="00AB2B19" w:rsidRPr="00F2035B" w:rsidRDefault="00626CE5" w:rsidP="00F2035B">
      <w:pPr>
        <w:pStyle w:val="Heading2"/>
      </w:pPr>
      <w:r w:rsidRPr="00F2035B">
        <w:t>The Future Made in Australia National Interest Framework, Australia's Critical Mineral List and The Critical Minerals Framework Agreement</w:t>
      </w:r>
    </w:p>
    <w:p w14:paraId="19EEA8F0" w14:textId="77777777" w:rsidR="00AB2B19" w:rsidRPr="00F2035B" w:rsidRDefault="00AB2B19" w:rsidP="00F2035B">
      <w:pPr>
        <w:pStyle w:val="Heading2"/>
        <w:sectPr w:rsidR="00AB2B19" w:rsidRPr="00F2035B">
          <w:pgSz w:w="11904" w:h="16834"/>
          <w:pgMar w:top="360" w:right="1376" w:bottom="107" w:left="1488" w:header="720" w:footer="720" w:gutter="0"/>
          <w:cols w:space="720"/>
        </w:sectPr>
      </w:pPr>
    </w:p>
    <w:p w14:paraId="1D34A184" w14:textId="77777777" w:rsidR="00AB2B19" w:rsidRDefault="00626CE5">
      <w:pPr>
        <w:numPr>
          <w:ilvl w:val="0"/>
          <w:numId w:val="3"/>
        </w:numPr>
        <w:spacing w:before="759" w:line="294" w:lineRule="exact"/>
        <w:ind w:left="504" w:hanging="504"/>
        <w:textAlignment w:val="baseline"/>
        <w:rPr>
          <w:rFonts w:eastAsia="Times New Roman"/>
          <w:color w:val="000000"/>
          <w:spacing w:val="-3"/>
          <w:sz w:val="23"/>
        </w:rPr>
      </w:pPr>
      <w:r>
        <w:rPr>
          <w:rFonts w:eastAsia="Times New Roman"/>
          <w:color w:val="000000"/>
          <w:spacing w:val="-3"/>
          <w:sz w:val="23"/>
        </w:rPr>
        <w:lastRenderedPageBreak/>
        <w:t xml:space="preserve">On 14 May 2024, the Department of Treasury released the `Future Made in Australia: National Interest Framework' Discussion Paper. A part of the National Interest Framework referred to in the Discussion Paper was Critical Mineral Processing. The Paper explains that </w:t>
      </w:r>
      <w:r>
        <w:rPr>
          <w:rFonts w:eastAsia="Times New Roman"/>
          <w:i/>
          <w:color w:val="000000"/>
          <w:spacing w:val="-3"/>
          <w:sz w:val="23"/>
        </w:rPr>
        <w:t>`A stable and diversified supply of critical minerals is critical to the smooth operation of global and domestic supply chains, including to support the net zero transformation, defence industries and a range of other applications.'</w:t>
      </w:r>
    </w:p>
    <w:p w14:paraId="07250984" w14:textId="77777777" w:rsidR="00AB2B19" w:rsidRDefault="00626CE5">
      <w:pPr>
        <w:numPr>
          <w:ilvl w:val="0"/>
          <w:numId w:val="3"/>
        </w:numPr>
        <w:spacing w:before="142" w:line="294" w:lineRule="exact"/>
        <w:ind w:left="504" w:hanging="504"/>
        <w:textAlignment w:val="baseline"/>
        <w:rPr>
          <w:rFonts w:eastAsia="Times New Roman"/>
          <w:color w:val="000000"/>
          <w:spacing w:val="-3"/>
          <w:sz w:val="23"/>
        </w:rPr>
      </w:pPr>
      <w:r>
        <w:rPr>
          <w:rFonts w:eastAsia="Times New Roman"/>
          <w:color w:val="000000"/>
          <w:spacing w:val="-3"/>
          <w:sz w:val="23"/>
        </w:rPr>
        <w:t xml:space="preserve">Australia's </w:t>
      </w:r>
      <w:r>
        <w:rPr>
          <w:rFonts w:eastAsia="Times New Roman"/>
          <w:b/>
          <w:color w:val="000000"/>
          <w:spacing w:val="-3"/>
          <w:sz w:val="23"/>
        </w:rPr>
        <w:t xml:space="preserve">Critical Mineral List </w:t>
      </w:r>
      <w:r>
        <w:rPr>
          <w:rFonts w:eastAsia="Times New Roman"/>
          <w:color w:val="000000"/>
          <w:spacing w:val="-3"/>
          <w:sz w:val="23"/>
        </w:rPr>
        <w:t xml:space="preserve">is established to identify the importance of </w:t>
      </w:r>
      <w:proofErr w:type="gramStart"/>
      <w:r>
        <w:rPr>
          <w:rFonts w:eastAsia="Times New Roman"/>
          <w:color w:val="000000"/>
          <w:spacing w:val="-3"/>
          <w:sz w:val="23"/>
        </w:rPr>
        <w:t>particular minerals</w:t>
      </w:r>
      <w:proofErr w:type="gramEnd"/>
      <w:r>
        <w:rPr>
          <w:rFonts w:eastAsia="Times New Roman"/>
          <w:color w:val="000000"/>
          <w:spacing w:val="-3"/>
          <w:sz w:val="23"/>
        </w:rPr>
        <w:t xml:space="preserve"> to Australia's economy and national security. The Critical Minerals List states that it contains minerals that are:</w:t>
      </w:r>
    </w:p>
    <w:p w14:paraId="32EAC826" w14:textId="77777777" w:rsidR="00AB2B19" w:rsidRDefault="00626CE5">
      <w:pPr>
        <w:numPr>
          <w:ilvl w:val="0"/>
          <w:numId w:val="4"/>
        </w:numPr>
        <w:tabs>
          <w:tab w:val="clear" w:pos="288"/>
          <w:tab w:val="left" w:pos="1296"/>
        </w:tabs>
        <w:spacing w:before="162" w:line="269" w:lineRule="exact"/>
        <w:ind w:left="1296" w:right="216" w:hanging="288"/>
        <w:textAlignment w:val="baseline"/>
        <w:rPr>
          <w:rFonts w:eastAsia="Times New Roman"/>
          <w:i/>
          <w:color w:val="000000"/>
          <w:sz w:val="20"/>
        </w:rPr>
      </w:pPr>
      <w:r>
        <w:rPr>
          <w:rFonts w:eastAsia="Times New Roman"/>
          <w:i/>
          <w:color w:val="000000"/>
          <w:sz w:val="20"/>
        </w:rPr>
        <w:t>essential to our modern technologies, economies and national security, specifically the priority technologies set out in the Critical Minerals Strategy</w:t>
      </w:r>
    </w:p>
    <w:p w14:paraId="740D204F" w14:textId="77777777" w:rsidR="00AB2B19" w:rsidRDefault="00626CE5">
      <w:pPr>
        <w:numPr>
          <w:ilvl w:val="0"/>
          <w:numId w:val="4"/>
        </w:numPr>
        <w:tabs>
          <w:tab w:val="clear" w:pos="288"/>
          <w:tab w:val="left" w:pos="1296"/>
        </w:tabs>
        <w:spacing w:before="174" w:line="256" w:lineRule="exact"/>
        <w:ind w:left="1296" w:hanging="288"/>
        <w:textAlignment w:val="baseline"/>
        <w:rPr>
          <w:rFonts w:eastAsia="Times New Roman"/>
          <w:i/>
          <w:color w:val="000000"/>
          <w:spacing w:val="2"/>
          <w:sz w:val="20"/>
        </w:rPr>
      </w:pPr>
      <w:r>
        <w:rPr>
          <w:rFonts w:eastAsia="Times New Roman"/>
          <w:i/>
          <w:color w:val="000000"/>
          <w:spacing w:val="2"/>
          <w:sz w:val="20"/>
        </w:rPr>
        <w:t>for which Australia has geological potential for resources</w:t>
      </w:r>
    </w:p>
    <w:p w14:paraId="369D73FB" w14:textId="77777777" w:rsidR="00AB2B19" w:rsidRDefault="00626CE5">
      <w:pPr>
        <w:numPr>
          <w:ilvl w:val="0"/>
          <w:numId w:val="4"/>
        </w:numPr>
        <w:tabs>
          <w:tab w:val="clear" w:pos="288"/>
          <w:tab w:val="left" w:pos="1296"/>
        </w:tabs>
        <w:spacing w:before="174" w:line="256" w:lineRule="exact"/>
        <w:ind w:left="1296" w:hanging="288"/>
        <w:textAlignment w:val="baseline"/>
        <w:rPr>
          <w:rFonts w:eastAsia="Times New Roman"/>
          <w:i/>
          <w:color w:val="000000"/>
          <w:sz w:val="20"/>
        </w:rPr>
      </w:pPr>
      <w:r>
        <w:rPr>
          <w:rFonts w:eastAsia="Times New Roman"/>
          <w:i/>
          <w:color w:val="000000"/>
          <w:sz w:val="20"/>
        </w:rPr>
        <w:t>, in demand from our strategic international partners</w:t>
      </w:r>
    </w:p>
    <w:p w14:paraId="517732A2" w14:textId="77777777" w:rsidR="00AB2B19" w:rsidRDefault="00626CE5">
      <w:pPr>
        <w:numPr>
          <w:ilvl w:val="0"/>
          <w:numId w:val="4"/>
        </w:numPr>
        <w:tabs>
          <w:tab w:val="clear" w:pos="288"/>
          <w:tab w:val="left" w:pos="1296"/>
        </w:tabs>
        <w:spacing w:before="175" w:line="256" w:lineRule="exact"/>
        <w:ind w:left="1296" w:hanging="288"/>
        <w:textAlignment w:val="baseline"/>
        <w:rPr>
          <w:rFonts w:eastAsia="Times New Roman"/>
          <w:i/>
          <w:color w:val="000000"/>
          <w:sz w:val="20"/>
        </w:rPr>
      </w:pPr>
      <w:r>
        <w:rPr>
          <w:rFonts w:eastAsia="Times New Roman"/>
          <w:i/>
          <w:color w:val="000000"/>
          <w:sz w:val="20"/>
        </w:rPr>
        <w:t>that are vulnerable to supply chain disruption.</w:t>
      </w:r>
    </w:p>
    <w:p w14:paraId="64DE5182" w14:textId="77777777" w:rsidR="00AB2B19" w:rsidRDefault="00626CE5">
      <w:pPr>
        <w:numPr>
          <w:ilvl w:val="0"/>
          <w:numId w:val="3"/>
        </w:numPr>
        <w:spacing w:before="184" w:line="253" w:lineRule="exact"/>
        <w:ind w:left="504" w:hanging="504"/>
        <w:textAlignment w:val="baseline"/>
        <w:rPr>
          <w:rFonts w:eastAsia="Times New Roman"/>
          <w:color w:val="000000"/>
          <w:spacing w:val="-2"/>
          <w:sz w:val="23"/>
        </w:rPr>
      </w:pPr>
      <w:r>
        <w:rPr>
          <w:rFonts w:eastAsia="Times New Roman"/>
          <w:color w:val="000000"/>
          <w:spacing w:val="-2"/>
          <w:sz w:val="23"/>
        </w:rPr>
        <w:t>Presently, there are 31 minerals identified on the Critical Mineral List.</w:t>
      </w:r>
    </w:p>
    <w:p w14:paraId="3FE9CE34" w14:textId="77777777" w:rsidR="00AB2B19" w:rsidRDefault="00626CE5">
      <w:pPr>
        <w:numPr>
          <w:ilvl w:val="0"/>
          <w:numId w:val="3"/>
        </w:numPr>
        <w:spacing w:before="145" w:line="294" w:lineRule="exact"/>
        <w:ind w:left="504" w:right="216" w:hanging="504"/>
        <w:textAlignment w:val="baseline"/>
        <w:rPr>
          <w:rFonts w:eastAsia="Times New Roman"/>
          <w:color w:val="000000"/>
          <w:spacing w:val="-6"/>
          <w:sz w:val="23"/>
        </w:rPr>
      </w:pPr>
      <w:r>
        <w:rPr>
          <w:rFonts w:eastAsia="Times New Roman"/>
          <w:color w:val="000000"/>
          <w:spacing w:val="-6"/>
          <w:sz w:val="23"/>
        </w:rPr>
        <w:t>On 20 October 2025, the United States and Australian Governments signed a Critical Minerals Framework Agreement committing over $2 billion in joint investments to secure and diversify supplies of key minerals. The preamble to the Agreement notes that:</w:t>
      </w:r>
    </w:p>
    <w:p w14:paraId="079882E7" w14:textId="77777777" w:rsidR="00AB2B19" w:rsidRDefault="00626CE5">
      <w:pPr>
        <w:spacing w:before="140" w:line="272" w:lineRule="exact"/>
        <w:ind w:left="1296" w:right="648"/>
        <w:textAlignment w:val="baseline"/>
        <w:rPr>
          <w:rFonts w:eastAsia="Times New Roman"/>
          <w:i/>
          <w:color w:val="000000"/>
          <w:sz w:val="20"/>
        </w:rPr>
      </w:pPr>
      <w:proofErr w:type="gramStart"/>
      <w:r>
        <w:rPr>
          <w:rFonts w:eastAsia="Times New Roman"/>
          <w:i/>
          <w:color w:val="000000"/>
          <w:sz w:val="20"/>
        </w:rPr>
        <w:t>Whereas,</w:t>
      </w:r>
      <w:proofErr w:type="gramEnd"/>
      <w:r>
        <w:rPr>
          <w:rFonts w:eastAsia="Times New Roman"/>
          <w:i/>
          <w:color w:val="000000"/>
          <w:sz w:val="20"/>
        </w:rPr>
        <w:t xml:space="preserve"> rare earths and critical minerals are essential </w:t>
      </w:r>
      <w:proofErr w:type="gramStart"/>
      <w:r>
        <w:rPr>
          <w:rFonts w:eastAsia="Times New Roman"/>
          <w:i/>
          <w:color w:val="000000"/>
          <w:sz w:val="20"/>
        </w:rPr>
        <w:t>for the production of</w:t>
      </w:r>
      <w:proofErr w:type="gramEnd"/>
      <w:r>
        <w:rPr>
          <w:rFonts w:eastAsia="Times New Roman"/>
          <w:i/>
          <w:color w:val="000000"/>
          <w:sz w:val="20"/>
        </w:rPr>
        <w:t xml:space="preserve"> advanced </w:t>
      </w:r>
      <w:proofErr w:type="gramStart"/>
      <w:r>
        <w:rPr>
          <w:rFonts w:eastAsia="Times New Roman"/>
          <w:i/>
          <w:color w:val="000000"/>
          <w:sz w:val="20"/>
        </w:rPr>
        <w:t>technologies;</w:t>
      </w:r>
      <w:proofErr w:type="gramEnd"/>
    </w:p>
    <w:p w14:paraId="00E27B83" w14:textId="77777777" w:rsidR="00AB2B19" w:rsidRDefault="00626CE5">
      <w:pPr>
        <w:spacing w:before="146" w:line="268" w:lineRule="exact"/>
        <w:ind w:left="1296"/>
        <w:textAlignment w:val="baseline"/>
        <w:rPr>
          <w:rFonts w:eastAsia="Times New Roman"/>
          <w:i/>
          <w:color w:val="000000"/>
          <w:sz w:val="20"/>
        </w:rPr>
      </w:pPr>
      <w:r>
        <w:rPr>
          <w:rFonts w:eastAsia="Times New Roman"/>
          <w:i/>
          <w:color w:val="000000"/>
          <w:sz w:val="20"/>
        </w:rPr>
        <w:t>Whereas, the United States of America (the "United States" or "U.S.') and the Commonwealth of Australia ("Australia", and together, the "Participants') intend to support the supply of raw and processed critical minerals and rare earths crucial to the commercial and defence industries of the United States and Australia;</w:t>
      </w:r>
    </w:p>
    <w:p w14:paraId="0BA90EC9" w14:textId="77777777" w:rsidR="00AB2B19" w:rsidRDefault="00626CE5">
      <w:pPr>
        <w:spacing w:before="145" w:line="269" w:lineRule="exact"/>
        <w:ind w:left="1296"/>
        <w:textAlignment w:val="baseline"/>
        <w:rPr>
          <w:rFonts w:eastAsia="Times New Roman"/>
          <w:i/>
          <w:color w:val="000000"/>
          <w:sz w:val="20"/>
        </w:rPr>
      </w:pPr>
      <w:r>
        <w:rPr>
          <w:rFonts w:eastAsia="Times New Roman"/>
          <w:i/>
          <w:color w:val="000000"/>
          <w:sz w:val="20"/>
        </w:rPr>
        <w:t>Whereas, the Participants plan to accomplish this through use of economic policy tools and coordinated investment to accelerate development of diversified, liquid, fair markets far critical minerals and rare earths;</w:t>
      </w:r>
    </w:p>
    <w:p w14:paraId="6FA8DF5A" w14:textId="77777777" w:rsidR="00AB2B19" w:rsidRDefault="00626CE5">
      <w:pPr>
        <w:spacing w:before="145" w:line="268" w:lineRule="exact"/>
        <w:ind w:left="1296"/>
        <w:textAlignment w:val="baseline"/>
        <w:rPr>
          <w:rFonts w:eastAsia="Times New Roman"/>
          <w:i/>
          <w:color w:val="000000"/>
          <w:sz w:val="20"/>
        </w:rPr>
      </w:pPr>
      <w:r>
        <w:rPr>
          <w:rFonts w:eastAsia="Times New Roman"/>
          <w:i/>
          <w:color w:val="000000"/>
          <w:sz w:val="20"/>
        </w:rPr>
        <w:t>Whereas, the Participants' objective is to assist both countries in achieving resilience and security of critical minerals and rare earths supply chains, including mining. separation, and processing;</w:t>
      </w:r>
    </w:p>
    <w:p w14:paraId="3C8D7D17" w14:textId="77777777" w:rsidR="00AB2B19" w:rsidRDefault="00626CE5">
      <w:pPr>
        <w:spacing w:before="149" w:line="267" w:lineRule="exact"/>
        <w:ind w:left="1296"/>
        <w:textAlignment w:val="baseline"/>
        <w:rPr>
          <w:rFonts w:eastAsia="Times New Roman"/>
          <w:i/>
          <w:color w:val="000000"/>
          <w:sz w:val="20"/>
        </w:rPr>
      </w:pPr>
      <w:r>
        <w:rPr>
          <w:rFonts w:eastAsia="Times New Roman"/>
          <w:i/>
          <w:color w:val="000000"/>
          <w:sz w:val="20"/>
        </w:rPr>
        <w:t>Whereas, the Participants intend to capitalize on their respective existing domestic mining and processing operations in critical minerals and heavy and light rare earths as well as new capacity to be made available in 2026.</w:t>
      </w:r>
    </w:p>
    <w:p w14:paraId="1B04A11E" w14:textId="77777777" w:rsidR="00AB2B19" w:rsidRDefault="00626CE5">
      <w:pPr>
        <w:numPr>
          <w:ilvl w:val="0"/>
          <w:numId w:val="3"/>
        </w:numPr>
        <w:spacing w:before="144" w:line="294" w:lineRule="exact"/>
        <w:ind w:left="504" w:right="72" w:hanging="504"/>
        <w:textAlignment w:val="baseline"/>
        <w:rPr>
          <w:rFonts w:eastAsia="Times New Roman"/>
          <w:color w:val="000000"/>
          <w:sz w:val="23"/>
        </w:rPr>
      </w:pPr>
      <w:r>
        <w:rPr>
          <w:rFonts w:eastAsia="Times New Roman"/>
          <w:color w:val="000000"/>
          <w:sz w:val="23"/>
        </w:rPr>
        <w:t>Section 1 of the Agreement identifies the efforts of the participants to secure supply of critical minerals and rare earths and investing in mining and processing of those minerals.</w:t>
      </w:r>
    </w:p>
    <w:p w14:paraId="3EE3E06F" w14:textId="77777777" w:rsidR="00AB2B19" w:rsidRDefault="00AB2B19">
      <w:pPr>
        <w:sectPr w:rsidR="00AB2B19">
          <w:pgSz w:w="11904" w:h="16834"/>
          <w:pgMar w:top="840" w:right="1755" w:bottom="698" w:left="1829" w:header="720" w:footer="720" w:gutter="0"/>
          <w:cols w:space="720"/>
        </w:sectPr>
      </w:pPr>
    </w:p>
    <w:p w14:paraId="12F1E3A1" w14:textId="77777777" w:rsidR="00AB2B19" w:rsidRDefault="00626CE5">
      <w:pPr>
        <w:tabs>
          <w:tab w:val="left" w:pos="576"/>
        </w:tabs>
        <w:spacing w:before="781" w:line="292" w:lineRule="exact"/>
        <w:ind w:left="504" w:right="144" w:hanging="504"/>
        <w:textAlignment w:val="baseline"/>
        <w:rPr>
          <w:rFonts w:eastAsia="Times New Roman"/>
          <w:color w:val="0B0B0B"/>
        </w:rPr>
      </w:pPr>
      <w:r>
        <w:rPr>
          <w:rFonts w:eastAsia="Times New Roman"/>
          <w:color w:val="0B0B0B"/>
        </w:rPr>
        <w:lastRenderedPageBreak/>
        <w:t>14.</w:t>
      </w:r>
      <w:r>
        <w:rPr>
          <w:rFonts w:eastAsia="Times New Roman"/>
          <w:color w:val="0B0B0B"/>
        </w:rPr>
        <w:tab/>
        <w:t>Deputy Prime Minister and Minister for Defence Richard Mules and Minister for Foreign Affairs Penny Wong travelled to Washington DC for the Australia-United States Ministerial Consultations where they met with United States Secretary of War Pete Hegseth and United States Secretary of State Marco Rubio. A statement released after the consultations expressed that:</w:t>
      </w:r>
    </w:p>
    <w:p w14:paraId="64B6615E" w14:textId="77777777" w:rsidR="00AB2B19" w:rsidRDefault="00626CE5">
      <w:pPr>
        <w:spacing w:before="158" w:line="267" w:lineRule="exact"/>
        <w:ind w:left="1296" w:right="72"/>
        <w:textAlignment w:val="baseline"/>
        <w:rPr>
          <w:rFonts w:eastAsia="Times New Roman"/>
          <w:i/>
          <w:color w:val="0B0B0B"/>
          <w:spacing w:val="-9"/>
        </w:rPr>
      </w:pPr>
      <w:r>
        <w:rPr>
          <w:rFonts w:eastAsia="Times New Roman"/>
          <w:i/>
          <w:color w:val="0B0B0B"/>
          <w:spacing w:val="-9"/>
        </w:rPr>
        <w:t>The Principals agreed on the importance of swift implementation of the Critical Minerals Framework. Following the announcement of joint investment with Japan in the project, they welcomed Alcoa's recent application for key Australian regulatory approvals needed to move expeditiously towards gallium production in 2026 to diversify a critical supply chain for the defense sector.</w:t>
      </w:r>
    </w:p>
    <w:p w14:paraId="43C230BC" w14:textId="77777777" w:rsidR="00AB2B19" w:rsidRDefault="00626CE5" w:rsidP="00F2035B">
      <w:pPr>
        <w:pStyle w:val="Heading2"/>
      </w:pPr>
      <w:r>
        <w:t>Bauxite and Gallium</w:t>
      </w:r>
    </w:p>
    <w:p w14:paraId="0BD4711F" w14:textId="77777777" w:rsidR="00AB2B19" w:rsidRDefault="00626CE5">
      <w:pPr>
        <w:tabs>
          <w:tab w:val="left" w:pos="576"/>
        </w:tabs>
        <w:spacing w:before="149" w:line="292" w:lineRule="exact"/>
        <w:ind w:left="504" w:right="576" w:hanging="504"/>
        <w:textAlignment w:val="baseline"/>
        <w:rPr>
          <w:rFonts w:eastAsia="Times New Roman"/>
          <w:color w:val="0B0B0B"/>
        </w:rPr>
      </w:pPr>
      <w:r>
        <w:rPr>
          <w:rFonts w:eastAsia="Times New Roman"/>
          <w:color w:val="0B0B0B"/>
        </w:rPr>
        <w:t>15.</w:t>
      </w:r>
      <w:r>
        <w:rPr>
          <w:rFonts w:eastAsia="Times New Roman"/>
          <w:color w:val="0B0B0B"/>
        </w:rPr>
        <w:tab/>
        <w:t xml:space="preserve">Bauxite mining occurs across Australia, with the major mines located in Western Australia and Queensland. South 32 is a </w:t>
      </w:r>
      <w:proofErr w:type="spellStart"/>
      <w:r>
        <w:rPr>
          <w:rFonts w:eastAsia="Times New Roman"/>
          <w:color w:val="0B0B0B"/>
        </w:rPr>
        <w:t>neighbouring</w:t>
      </w:r>
      <w:proofErr w:type="spellEnd"/>
      <w:r>
        <w:rPr>
          <w:rFonts w:eastAsia="Times New Roman"/>
          <w:color w:val="0B0B0B"/>
        </w:rPr>
        <w:t xml:space="preserve"> bauxite mine to Alcoa in Western Australia, and the </w:t>
      </w:r>
      <w:proofErr w:type="spellStart"/>
      <w:r>
        <w:rPr>
          <w:rFonts w:eastAsia="Times New Roman"/>
          <w:color w:val="0B0B0B"/>
        </w:rPr>
        <w:t>Weipa</w:t>
      </w:r>
      <w:proofErr w:type="spellEnd"/>
      <w:r>
        <w:rPr>
          <w:rFonts w:eastAsia="Times New Roman"/>
          <w:color w:val="0B0B0B"/>
        </w:rPr>
        <w:t xml:space="preserve"> mine, operated by Rio Tinto, </w:t>
      </w:r>
      <w:proofErr w:type="gramStart"/>
      <w:r>
        <w:rPr>
          <w:rFonts w:eastAsia="Times New Roman"/>
          <w:color w:val="0B0B0B"/>
        </w:rPr>
        <w:t>is located in</w:t>
      </w:r>
      <w:proofErr w:type="gramEnd"/>
      <w:r>
        <w:rPr>
          <w:rFonts w:eastAsia="Times New Roman"/>
          <w:color w:val="0B0B0B"/>
        </w:rPr>
        <w:t xml:space="preserve"> Queensland. In relation to production:</w:t>
      </w:r>
    </w:p>
    <w:p w14:paraId="7004570D" w14:textId="77777777" w:rsidR="00AB2B19" w:rsidRDefault="00626CE5">
      <w:pPr>
        <w:numPr>
          <w:ilvl w:val="0"/>
          <w:numId w:val="5"/>
        </w:numPr>
        <w:tabs>
          <w:tab w:val="clear" w:pos="504"/>
          <w:tab w:val="left" w:pos="1080"/>
        </w:tabs>
        <w:spacing w:before="155" w:line="288" w:lineRule="exact"/>
        <w:ind w:left="1080" w:hanging="504"/>
        <w:textAlignment w:val="baseline"/>
        <w:rPr>
          <w:rFonts w:eastAsia="Times New Roman"/>
          <w:color w:val="0B0B0B"/>
        </w:rPr>
      </w:pPr>
      <w:r>
        <w:rPr>
          <w:rFonts w:eastAsia="Times New Roman"/>
          <w:color w:val="0B0B0B"/>
        </w:rPr>
        <w:t>South 32 produced 16.81 million tonnes per annum (Mtpa) of bauxite in the 2025 financial year;</w:t>
      </w:r>
    </w:p>
    <w:p w14:paraId="718C6EAD" w14:textId="77777777" w:rsidR="00AB2B19" w:rsidRDefault="00626CE5">
      <w:pPr>
        <w:numPr>
          <w:ilvl w:val="0"/>
          <w:numId w:val="5"/>
        </w:numPr>
        <w:tabs>
          <w:tab w:val="clear" w:pos="504"/>
          <w:tab w:val="left" w:pos="1080"/>
        </w:tabs>
        <w:spacing w:before="192" w:line="249" w:lineRule="exact"/>
        <w:ind w:left="1080" w:hanging="504"/>
        <w:textAlignment w:val="baseline"/>
        <w:rPr>
          <w:rFonts w:eastAsia="Times New Roman"/>
          <w:color w:val="0B0B0B"/>
        </w:rPr>
      </w:pPr>
      <w:r>
        <w:rPr>
          <w:rFonts w:eastAsia="Times New Roman"/>
          <w:color w:val="0B0B0B"/>
        </w:rPr>
        <w:t>Alcoa produced 27 Mtpa of bauxite in 2024; and</w:t>
      </w:r>
    </w:p>
    <w:p w14:paraId="337EE4D9" w14:textId="77777777" w:rsidR="00AB2B19" w:rsidRDefault="00626CE5">
      <w:pPr>
        <w:numPr>
          <w:ilvl w:val="0"/>
          <w:numId w:val="5"/>
        </w:numPr>
        <w:tabs>
          <w:tab w:val="clear" w:pos="504"/>
          <w:tab w:val="left" w:pos="1080"/>
        </w:tabs>
        <w:spacing w:before="193" w:line="249" w:lineRule="exact"/>
        <w:ind w:left="1080" w:hanging="504"/>
        <w:textAlignment w:val="baseline"/>
        <w:rPr>
          <w:rFonts w:eastAsia="Times New Roman"/>
          <w:color w:val="0B0B0B"/>
        </w:rPr>
      </w:pPr>
      <w:r>
        <w:rPr>
          <w:rFonts w:eastAsia="Times New Roman"/>
          <w:color w:val="0B0B0B"/>
        </w:rPr>
        <w:t>Rio Tinto produces around 37 Mtpa of bauxite per year.</w:t>
      </w:r>
    </w:p>
    <w:p w14:paraId="261E385E" w14:textId="77777777" w:rsidR="00AB2B19" w:rsidRDefault="00626CE5">
      <w:pPr>
        <w:numPr>
          <w:ilvl w:val="0"/>
          <w:numId w:val="5"/>
        </w:numPr>
        <w:tabs>
          <w:tab w:val="clear" w:pos="504"/>
          <w:tab w:val="left" w:pos="1080"/>
        </w:tabs>
        <w:spacing w:before="190" w:line="249" w:lineRule="exact"/>
        <w:ind w:left="1080" w:hanging="504"/>
        <w:textAlignment w:val="baseline"/>
        <w:rPr>
          <w:rFonts w:eastAsia="Times New Roman"/>
          <w:color w:val="0B0B0B"/>
        </w:rPr>
      </w:pPr>
      <w:r>
        <w:rPr>
          <w:rFonts w:eastAsia="Times New Roman"/>
          <w:color w:val="0B0B0B"/>
        </w:rPr>
        <w:t>Northern Territory produces 12.9 Mtpa from multiple mines.</w:t>
      </w:r>
    </w:p>
    <w:p w14:paraId="70653853" w14:textId="77777777" w:rsidR="00AB2B19" w:rsidRDefault="00626CE5">
      <w:pPr>
        <w:tabs>
          <w:tab w:val="left" w:pos="576"/>
        </w:tabs>
        <w:spacing w:before="152" w:line="292" w:lineRule="exact"/>
        <w:ind w:left="504" w:hanging="504"/>
        <w:textAlignment w:val="baseline"/>
        <w:rPr>
          <w:rFonts w:eastAsia="Times New Roman"/>
          <w:color w:val="0B0B0B"/>
        </w:rPr>
      </w:pPr>
      <w:r>
        <w:rPr>
          <w:rFonts w:eastAsia="Times New Roman"/>
          <w:color w:val="0B0B0B"/>
        </w:rPr>
        <w:t>16.</w:t>
      </w:r>
      <w:r>
        <w:rPr>
          <w:rFonts w:eastAsia="Times New Roman"/>
          <w:color w:val="0B0B0B"/>
        </w:rPr>
        <w:tab/>
        <w:t>Gallium is a byproduct from the processing of bauxite (aluminium ore) and zinc ores. It is one of the minerals identified on the Critical Mineral List. The Critical Mineral List records that Gallium is also identified as a critical mineral by other nations, including the United States, India, the European Union and the United Kingdom. Australia's geological potential for Gallium is rated as `high'.</w:t>
      </w:r>
    </w:p>
    <w:p w14:paraId="762EC19C" w14:textId="77777777" w:rsidR="00AB2B19" w:rsidRDefault="00626CE5">
      <w:pPr>
        <w:tabs>
          <w:tab w:val="left" w:pos="576"/>
        </w:tabs>
        <w:spacing w:before="187" w:line="249" w:lineRule="exact"/>
        <w:textAlignment w:val="baseline"/>
        <w:rPr>
          <w:rFonts w:eastAsia="Times New Roman"/>
          <w:color w:val="0B0B0B"/>
        </w:rPr>
      </w:pPr>
      <w:r>
        <w:rPr>
          <w:rFonts w:eastAsia="Times New Roman"/>
          <w:color w:val="0B0B0B"/>
        </w:rPr>
        <w:t>17.</w:t>
      </w:r>
      <w:r>
        <w:rPr>
          <w:rFonts w:eastAsia="Times New Roman"/>
          <w:color w:val="0B0B0B"/>
        </w:rPr>
        <w:tab/>
        <w:t>A recent article' explains:</w:t>
      </w:r>
    </w:p>
    <w:p w14:paraId="7AC66871" w14:textId="77777777" w:rsidR="00AB2B19" w:rsidRDefault="00626CE5">
      <w:pPr>
        <w:spacing w:before="159" w:line="267" w:lineRule="exact"/>
        <w:ind w:left="1296" w:right="144"/>
        <w:textAlignment w:val="baseline"/>
        <w:rPr>
          <w:rFonts w:eastAsia="Times New Roman"/>
          <w:i/>
          <w:color w:val="0B0B0B"/>
          <w:spacing w:val="-9"/>
        </w:rPr>
      </w:pPr>
      <w:r>
        <w:rPr>
          <w:rFonts w:eastAsia="Times New Roman"/>
          <w:i/>
          <w:color w:val="0B0B0B"/>
          <w:spacing w:val="-9"/>
        </w:rPr>
        <w:t>... gallium plays a critical role in key sectors such as electronics, clean energy, and communications. Its most notable uses include high-performance semiconductors, laser diodes, light-emitting diodes (LEDs), transistors, and solar photovoltaic (PV) cells. These applications are crucial to produce advanced electronic devices such as smart phones, computers, and high-efficiency renewable energy systems like solar panels and wind turbines.</w:t>
      </w:r>
    </w:p>
    <w:p w14:paraId="28A1B11C" w14:textId="77777777" w:rsidR="00AB2B19" w:rsidRDefault="00626CE5">
      <w:pPr>
        <w:tabs>
          <w:tab w:val="left" w:pos="576"/>
        </w:tabs>
        <w:spacing w:before="145" w:after="495" w:line="291" w:lineRule="exact"/>
        <w:ind w:left="504" w:right="648" w:hanging="504"/>
        <w:textAlignment w:val="baseline"/>
        <w:rPr>
          <w:rFonts w:eastAsia="Times New Roman"/>
          <w:color w:val="0B0B0B"/>
        </w:rPr>
      </w:pPr>
      <w:r>
        <w:rPr>
          <w:rFonts w:eastAsia="Times New Roman"/>
          <w:color w:val="0B0B0B"/>
        </w:rPr>
        <w:t>18.</w:t>
      </w:r>
      <w:r>
        <w:rPr>
          <w:rFonts w:eastAsia="Times New Roman"/>
          <w:color w:val="0B0B0B"/>
        </w:rPr>
        <w:tab/>
        <w:t>Gallium is essential to advanced technology applications, including advanced semiconductor wafers essential to AI applications, LEDs, and high-performance magnets.</w:t>
      </w:r>
    </w:p>
    <w:p w14:paraId="5E1454F7" w14:textId="6CE5553F" w:rsidR="00AB2B19" w:rsidRDefault="00626CE5">
      <w:pPr>
        <w:spacing w:before="121" w:line="225" w:lineRule="exact"/>
        <w:ind w:right="720"/>
        <w:textAlignment w:val="baseline"/>
        <w:rPr>
          <w:rFonts w:ascii="Arial" w:eastAsia="Arial" w:hAnsi="Arial"/>
          <w:color w:val="0B0B0B"/>
          <w:sz w:val="18"/>
        </w:rPr>
      </w:pPr>
      <w:r>
        <w:rPr>
          <w:rFonts w:ascii="Arial" w:eastAsia="Arial" w:hAnsi="Arial"/>
          <w:color w:val="0B0B0B"/>
          <w:sz w:val="18"/>
        </w:rPr>
        <w:t xml:space="preserve">' Zuo, L. et </w:t>
      </w:r>
      <w:r>
        <w:rPr>
          <w:rFonts w:ascii="Arial" w:eastAsia="Arial" w:hAnsi="Arial"/>
          <w:i/>
          <w:color w:val="0B0B0B"/>
          <w:sz w:val="18"/>
        </w:rPr>
        <w:t xml:space="preserve">al. </w:t>
      </w:r>
      <w:r>
        <w:rPr>
          <w:rFonts w:ascii="Arial" w:eastAsia="Arial" w:hAnsi="Arial"/>
          <w:color w:val="0B0B0B"/>
          <w:sz w:val="18"/>
        </w:rPr>
        <w:t xml:space="preserve">(2025) </w:t>
      </w:r>
      <w:r>
        <w:rPr>
          <w:rFonts w:ascii="Arial" w:eastAsia="Arial" w:hAnsi="Arial"/>
          <w:i/>
          <w:color w:val="0B0B0B"/>
          <w:sz w:val="18"/>
        </w:rPr>
        <w:t xml:space="preserve">Global and regional gallium recycling potential and opportunities: Based on historical material flow analysis, Sustainability </w:t>
      </w:r>
      <w:r>
        <w:rPr>
          <w:rFonts w:ascii="Arial" w:eastAsia="Arial" w:hAnsi="Arial"/>
          <w:color w:val="0B0B0B"/>
          <w:sz w:val="18"/>
        </w:rPr>
        <w:t>28(1):255, DO1:10.3390/su18010255</w:t>
      </w:r>
    </w:p>
    <w:p w14:paraId="6EE85122" w14:textId="77777777" w:rsidR="00AB2B19" w:rsidRDefault="00AB2B19">
      <w:pPr>
        <w:sectPr w:rsidR="00AB2B19">
          <w:pgSz w:w="11904" w:h="16834"/>
          <w:pgMar w:top="900" w:right="1686" w:bottom="678" w:left="1898" w:header="720" w:footer="720" w:gutter="0"/>
          <w:cols w:space="720"/>
        </w:sectPr>
      </w:pPr>
    </w:p>
    <w:p w14:paraId="22B3C160" w14:textId="77777777" w:rsidR="00AB2B19" w:rsidRDefault="00626CE5">
      <w:pPr>
        <w:tabs>
          <w:tab w:val="left" w:pos="576"/>
        </w:tabs>
        <w:spacing w:before="775" w:line="293" w:lineRule="exact"/>
        <w:ind w:left="576" w:right="288" w:hanging="576"/>
        <w:textAlignment w:val="baseline"/>
        <w:rPr>
          <w:rFonts w:eastAsia="Times New Roman"/>
          <w:color w:val="000000"/>
          <w:spacing w:val="-4"/>
          <w:sz w:val="23"/>
        </w:rPr>
      </w:pPr>
      <w:r>
        <w:rPr>
          <w:rFonts w:eastAsia="Times New Roman"/>
          <w:color w:val="000000"/>
          <w:spacing w:val="-4"/>
          <w:sz w:val="23"/>
        </w:rPr>
        <w:lastRenderedPageBreak/>
        <w:t>19.</w:t>
      </w:r>
      <w:r>
        <w:rPr>
          <w:rFonts w:eastAsia="Times New Roman"/>
          <w:color w:val="000000"/>
          <w:spacing w:val="-4"/>
          <w:sz w:val="23"/>
        </w:rPr>
        <w:tab/>
        <w:t>The demand for Gallium has increased, given the rapid shift towards clean energy, and is projected to increase by more than 200% compared to 2010 levels. Zuo et al state that (2026) ...global demand for gallium has grown exponentially, driven by electronic communication and emerging clean energy sectors, underscoring the urgency to address supply vulnerabilities.'</w:t>
      </w:r>
    </w:p>
    <w:p w14:paraId="650E3393" w14:textId="77777777" w:rsidR="00AB2B19" w:rsidRDefault="00626CE5">
      <w:pPr>
        <w:tabs>
          <w:tab w:val="left" w:pos="576"/>
        </w:tabs>
        <w:spacing w:before="144" w:line="293" w:lineRule="exact"/>
        <w:ind w:left="576" w:right="288" w:hanging="576"/>
        <w:textAlignment w:val="baseline"/>
        <w:rPr>
          <w:rFonts w:eastAsia="Times New Roman"/>
          <w:color w:val="000000"/>
          <w:spacing w:val="-4"/>
          <w:sz w:val="23"/>
        </w:rPr>
      </w:pPr>
      <w:r>
        <w:rPr>
          <w:rFonts w:eastAsia="Times New Roman"/>
          <w:color w:val="000000"/>
          <w:spacing w:val="-4"/>
          <w:sz w:val="23"/>
        </w:rPr>
        <w:t>20:</w:t>
      </w:r>
      <w:r>
        <w:rPr>
          <w:rFonts w:eastAsia="Times New Roman"/>
          <w:color w:val="000000"/>
          <w:spacing w:val="-4"/>
          <w:sz w:val="23"/>
        </w:rPr>
        <w:tab/>
        <w:t>Although there are multiple bauxite mines in Australia, there is currently no operational gallium refinery. Rio Tinto have only just developed the technology to refine gallium at their Canadian site.</w:t>
      </w:r>
    </w:p>
    <w:p w14:paraId="6CDD74FA" w14:textId="77777777" w:rsidR="00AB2B19" w:rsidRDefault="00626CE5">
      <w:pPr>
        <w:numPr>
          <w:ilvl w:val="0"/>
          <w:numId w:val="6"/>
        </w:numPr>
        <w:spacing w:before="149" w:line="293" w:lineRule="exact"/>
        <w:ind w:left="576" w:right="288" w:hanging="576"/>
        <w:textAlignment w:val="baseline"/>
        <w:rPr>
          <w:rFonts w:eastAsia="Times New Roman"/>
          <w:color w:val="000000"/>
          <w:spacing w:val="-4"/>
          <w:sz w:val="23"/>
        </w:rPr>
      </w:pPr>
      <w:r>
        <w:rPr>
          <w:rFonts w:eastAsia="Times New Roman"/>
          <w:color w:val="000000"/>
          <w:spacing w:val="-4"/>
          <w:sz w:val="23"/>
        </w:rPr>
        <w:t>Presently, bauxite is exported to either China or smaller refineries like those in Japan to refine into the gallium mineral. In 2023, 98% of global production of Gallium was produced by China. Alcoa currently export spent liquor as a raw material for gallium production but do not currently have a gallium refinery.</w:t>
      </w:r>
    </w:p>
    <w:p w14:paraId="06DD8E37" w14:textId="77777777" w:rsidR="00AB2B19" w:rsidRDefault="00626CE5">
      <w:pPr>
        <w:numPr>
          <w:ilvl w:val="0"/>
          <w:numId w:val="6"/>
        </w:numPr>
        <w:spacing w:before="145" w:line="293" w:lineRule="exact"/>
        <w:ind w:left="576" w:right="360" w:hanging="576"/>
        <w:textAlignment w:val="baseline"/>
        <w:rPr>
          <w:rFonts w:eastAsia="Times New Roman"/>
          <w:color w:val="000000"/>
          <w:sz w:val="23"/>
        </w:rPr>
      </w:pPr>
      <w:r>
        <w:rPr>
          <w:rFonts w:eastAsia="Times New Roman"/>
          <w:color w:val="000000"/>
          <w:sz w:val="23"/>
        </w:rPr>
        <w:t xml:space="preserve">Alcoa has entered a joint venture with the Japanese government and Sojitz corporation to develop a Gallium plant at the Wagerup refinery. This project, the `Western Australia Gallium </w:t>
      </w:r>
      <w:r>
        <w:rPr>
          <w:rFonts w:eastAsia="Times New Roman"/>
          <w:b/>
          <w:color w:val="000000"/>
          <w:sz w:val="23"/>
        </w:rPr>
        <w:t xml:space="preserve">Project' </w:t>
      </w:r>
      <w:r>
        <w:rPr>
          <w:rFonts w:eastAsia="Times New Roman"/>
          <w:color w:val="000000"/>
          <w:sz w:val="23"/>
        </w:rPr>
        <w:t>is proposed to produce 100 metric tonnes of Gallium per year, amounting to about 10% of the global supply.</w:t>
      </w:r>
    </w:p>
    <w:p w14:paraId="7CA57CF6" w14:textId="77777777" w:rsidR="00AB2B19" w:rsidRDefault="00626CE5" w:rsidP="00F2035B">
      <w:pPr>
        <w:pStyle w:val="Heading2"/>
      </w:pPr>
      <w:r>
        <w:t>National Interest Exemption</w:t>
      </w:r>
    </w:p>
    <w:p w14:paraId="73B7F747" w14:textId="77777777" w:rsidR="00AB2B19" w:rsidRDefault="00626CE5">
      <w:pPr>
        <w:numPr>
          <w:ilvl w:val="0"/>
          <w:numId w:val="6"/>
        </w:numPr>
        <w:spacing w:before="185" w:line="257" w:lineRule="exact"/>
        <w:ind w:left="576" w:hanging="576"/>
        <w:textAlignment w:val="baseline"/>
        <w:rPr>
          <w:rFonts w:eastAsia="Times New Roman"/>
          <w:color w:val="000000"/>
          <w:spacing w:val="-3"/>
          <w:sz w:val="23"/>
        </w:rPr>
      </w:pPr>
      <w:r>
        <w:rPr>
          <w:rFonts w:eastAsia="Times New Roman"/>
          <w:color w:val="000000"/>
          <w:spacing w:val="-3"/>
          <w:sz w:val="23"/>
        </w:rPr>
        <w:t xml:space="preserve">On 30 January 2026, </w:t>
      </w:r>
      <w:r>
        <w:rPr>
          <w:rFonts w:eastAsia="Times New Roman"/>
          <w:b/>
          <w:color w:val="000000"/>
          <w:spacing w:val="-3"/>
          <w:sz w:val="23"/>
        </w:rPr>
        <w:t xml:space="preserve">I </w:t>
      </w:r>
      <w:r>
        <w:rPr>
          <w:rFonts w:eastAsia="Times New Roman"/>
          <w:color w:val="000000"/>
          <w:spacing w:val="-3"/>
          <w:sz w:val="23"/>
        </w:rPr>
        <w:t>received an application from Alcoa, which stated:</w:t>
      </w:r>
    </w:p>
    <w:p w14:paraId="73966031" w14:textId="77777777" w:rsidR="00AB2B19" w:rsidRDefault="00626CE5">
      <w:pPr>
        <w:spacing w:before="142" w:line="268" w:lineRule="exact"/>
        <w:ind w:left="1296" w:right="360"/>
        <w:textAlignment w:val="baseline"/>
        <w:rPr>
          <w:rFonts w:eastAsia="Times New Roman"/>
          <w:i/>
          <w:color w:val="000000"/>
          <w:sz w:val="20"/>
        </w:rPr>
      </w:pPr>
      <w:r>
        <w:rPr>
          <w:rFonts w:eastAsia="Times New Roman"/>
          <w:i/>
          <w:color w:val="000000"/>
          <w:sz w:val="20"/>
        </w:rPr>
        <w:t>[Alcoa is] applying for an exemption under section 158(1) (Exemption) of the Environmental Protection and Biodiversity Conservation Act 1999 (Cth) (EPBC Act) from all of the provisions of Part 3 and all of Parts 7 through 9 of Chapter 4 of the EPBC Act in relation to the action as described in section 4, paragraph 22 of the attached submission (Submission). The 18-month Exemption requested will enable business continuity of [Alcoa 's] alumina refining operations, while the strategic assessment is undertaken and continued advancement of its nationally and internationally significant critical minerals gallium project.</w:t>
      </w:r>
    </w:p>
    <w:p w14:paraId="6AF52C50" w14:textId="77777777" w:rsidR="00AB2B19" w:rsidRDefault="00626CE5">
      <w:pPr>
        <w:numPr>
          <w:ilvl w:val="0"/>
          <w:numId w:val="6"/>
        </w:numPr>
        <w:spacing w:before="188" w:line="252" w:lineRule="exact"/>
        <w:ind w:left="576" w:hanging="576"/>
        <w:textAlignment w:val="baseline"/>
        <w:rPr>
          <w:rFonts w:eastAsia="Times New Roman"/>
          <w:color w:val="000000"/>
          <w:spacing w:val="-4"/>
          <w:sz w:val="23"/>
        </w:rPr>
      </w:pPr>
      <w:r>
        <w:rPr>
          <w:rFonts w:eastAsia="Times New Roman"/>
          <w:color w:val="000000"/>
          <w:spacing w:val="-4"/>
          <w:sz w:val="23"/>
        </w:rPr>
        <w:t>The exemption was articulated as follows:</w:t>
      </w:r>
    </w:p>
    <w:p w14:paraId="5AB1E449" w14:textId="77777777" w:rsidR="00AB2B19" w:rsidRDefault="00626CE5">
      <w:pPr>
        <w:spacing w:before="146" w:line="268" w:lineRule="exact"/>
        <w:ind w:left="1080" w:right="288"/>
        <w:textAlignment w:val="baseline"/>
        <w:rPr>
          <w:rFonts w:eastAsia="Times New Roman"/>
          <w:i/>
          <w:color w:val="000000"/>
          <w:sz w:val="20"/>
        </w:rPr>
      </w:pPr>
      <w:r>
        <w:rPr>
          <w:rFonts w:eastAsia="Times New Roman"/>
          <w:i/>
          <w:color w:val="000000"/>
          <w:sz w:val="20"/>
        </w:rPr>
        <w:t xml:space="preserve">Pursuant to section 158(1) of the EPBC, [Alcoa] is applying for an exemption from </w:t>
      </w:r>
      <w:proofErr w:type="gramStart"/>
      <w:r>
        <w:rPr>
          <w:rFonts w:eastAsia="Times New Roman"/>
          <w:i/>
          <w:color w:val="000000"/>
          <w:sz w:val="20"/>
        </w:rPr>
        <w:t>all of</w:t>
      </w:r>
      <w:proofErr w:type="gramEnd"/>
      <w:r>
        <w:rPr>
          <w:rFonts w:eastAsia="Times New Roman"/>
          <w:i/>
          <w:color w:val="000000"/>
          <w:sz w:val="20"/>
        </w:rPr>
        <w:t xml:space="preserve"> the provisions of Part 3 and all of Parts 7 through 9 of Chapter 4 of the EPBC Act in relation to the following action, to the extent the action is a controlled action for the purposes of section 67:</w:t>
      </w:r>
    </w:p>
    <w:p w14:paraId="758F9BA8" w14:textId="77777777" w:rsidR="00AB2B19" w:rsidRDefault="00626CE5">
      <w:pPr>
        <w:numPr>
          <w:ilvl w:val="0"/>
          <w:numId w:val="7"/>
        </w:numPr>
        <w:tabs>
          <w:tab w:val="clear" w:pos="504"/>
          <w:tab w:val="left" w:pos="1584"/>
        </w:tabs>
        <w:spacing w:before="187" w:line="226" w:lineRule="exact"/>
        <w:ind w:left="1080"/>
        <w:textAlignment w:val="baseline"/>
        <w:rPr>
          <w:rFonts w:eastAsia="Times New Roman"/>
          <w:i/>
          <w:color w:val="000000"/>
          <w:sz w:val="20"/>
        </w:rPr>
      </w:pPr>
      <w:r>
        <w:rPr>
          <w:rFonts w:eastAsia="Times New Roman"/>
          <w:i/>
          <w:color w:val="000000"/>
          <w:sz w:val="20"/>
        </w:rPr>
        <w:t>Limited clearing on MLISA.</w:t>
      </w:r>
    </w:p>
    <w:p w14:paraId="215385C0" w14:textId="77777777" w:rsidR="00AB2B19" w:rsidRDefault="00626CE5">
      <w:pPr>
        <w:numPr>
          <w:ilvl w:val="0"/>
          <w:numId w:val="7"/>
        </w:numPr>
        <w:tabs>
          <w:tab w:val="clear" w:pos="504"/>
          <w:tab w:val="left" w:pos="1584"/>
        </w:tabs>
        <w:spacing w:before="193" w:line="226" w:lineRule="exact"/>
        <w:ind w:left="1080"/>
        <w:textAlignment w:val="baseline"/>
        <w:rPr>
          <w:rFonts w:eastAsia="Times New Roman"/>
          <w:i/>
          <w:color w:val="000000"/>
          <w:sz w:val="20"/>
        </w:rPr>
      </w:pPr>
      <w:r>
        <w:rPr>
          <w:rFonts w:eastAsia="Times New Roman"/>
          <w:i/>
          <w:color w:val="000000"/>
          <w:sz w:val="20"/>
        </w:rPr>
        <w:t>Limited clearing on MLISA means clearing:</w:t>
      </w:r>
    </w:p>
    <w:p w14:paraId="1C3EEB32" w14:textId="04E398D5" w:rsidR="00AB2B19" w:rsidRDefault="00626CE5">
      <w:pPr>
        <w:tabs>
          <w:tab w:val="left" w:pos="2088"/>
        </w:tabs>
        <w:spacing w:before="140" w:line="271" w:lineRule="exact"/>
        <w:ind w:left="2088" w:right="648" w:hanging="504"/>
        <w:textAlignment w:val="baseline"/>
        <w:rPr>
          <w:rFonts w:eastAsia="Times New Roman"/>
          <w:i/>
          <w:color w:val="000000"/>
          <w:sz w:val="20"/>
        </w:rPr>
      </w:pPr>
      <w:r>
        <w:rPr>
          <w:rFonts w:eastAsia="Times New Roman"/>
          <w:i/>
          <w:color w:val="000000"/>
          <w:sz w:val="20"/>
        </w:rPr>
        <w:t>(I)</w:t>
      </w:r>
      <w:r>
        <w:rPr>
          <w:rFonts w:eastAsia="Times New Roman"/>
          <w:i/>
          <w:color w:val="000000"/>
          <w:sz w:val="20"/>
        </w:rPr>
        <w:tab/>
        <w:t>Associated with A</w:t>
      </w:r>
      <w:r w:rsidR="004951C3">
        <w:rPr>
          <w:rFonts w:eastAsia="Times New Roman"/>
          <w:i/>
          <w:color w:val="000000"/>
          <w:sz w:val="20"/>
        </w:rPr>
        <w:t>lcoa’</w:t>
      </w:r>
      <w:r>
        <w:rPr>
          <w:rFonts w:eastAsia="Times New Roman"/>
          <w:i/>
          <w:color w:val="000000"/>
          <w:sz w:val="20"/>
        </w:rPr>
        <w:t>s operations at the Huntly and Willowdale mining operations;</w:t>
      </w:r>
    </w:p>
    <w:p w14:paraId="34D1ABD7" w14:textId="77777777" w:rsidR="00AB2B19" w:rsidRDefault="00626CE5">
      <w:pPr>
        <w:numPr>
          <w:ilvl w:val="0"/>
          <w:numId w:val="8"/>
        </w:numPr>
        <w:tabs>
          <w:tab w:val="clear" w:pos="504"/>
          <w:tab w:val="left" w:pos="2088"/>
        </w:tabs>
        <w:spacing w:before="139" w:line="272" w:lineRule="exact"/>
        <w:ind w:left="2088" w:right="648" w:hanging="504"/>
        <w:textAlignment w:val="baseline"/>
        <w:rPr>
          <w:rFonts w:eastAsia="Times New Roman"/>
          <w:i/>
          <w:color w:val="000000"/>
          <w:sz w:val="20"/>
        </w:rPr>
      </w:pPr>
      <w:r>
        <w:rPr>
          <w:rFonts w:eastAsia="Times New Roman"/>
          <w:i/>
          <w:color w:val="000000"/>
          <w:sz w:val="20"/>
        </w:rPr>
        <w:t>of no more than 800 hectares per annum for a total of 1200 hectares of clearing, or the period of the exemption;</w:t>
      </w:r>
    </w:p>
    <w:p w14:paraId="6ABA264D" w14:textId="2A6AD1C3" w:rsidR="00AB2B19" w:rsidRDefault="00626CE5">
      <w:pPr>
        <w:numPr>
          <w:ilvl w:val="0"/>
          <w:numId w:val="8"/>
        </w:numPr>
        <w:tabs>
          <w:tab w:val="clear" w:pos="504"/>
          <w:tab w:val="left" w:pos="2088"/>
        </w:tabs>
        <w:spacing w:before="148" w:line="268" w:lineRule="exact"/>
        <w:ind w:left="2088" w:right="432" w:hanging="504"/>
        <w:textAlignment w:val="baseline"/>
        <w:rPr>
          <w:rFonts w:eastAsia="Times New Roman"/>
          <w:i/>
          <w:color w:val="000000"/>
          <w:sz w:val="20"/>
        </w:rPr>
      </w:pPr>
      <w:r>
        <w:rPr>
          <w:rFonts w:eastAsia="Times New Roman"/>
          <w:i/>
          <w:color w:val="000000"/>
          <w:sz w:val="20"/>
        </w:rPr>
        <w:t>undertaken in accordance with [Alcoa's]Mining Management Program as annually approved by the Western Australian Minister for State</w:t>
      </w:r>
    </w:p>
    <w:p w14:paraId="2BA6E869" w14:textId="77777777" w:rsidR="00AB2B19" w:rsidRDefault="00AB2B19">
      <w:pPr>
        <w:sectPr w:rsidR="00AB2B19">
          <w:pgSz w:w="11904" w:h="16834"/>
          <w:pgMar w:top="880" w:right="1464" w:bottom="658" w:left="1829" w:header="720" w:footer="720" w:gutter="0"/>
          <w:cols w:space="720"/>
        </w:sectPr>
      </w:pPr>
    </w:p>
    <w:p w14:paraId="461042E0" w14:textId="77777777" w:rsidR="00AB2B19" w:rsidRDefault="00626CE5">
      <w:pPr>
        <w:spacing w:before="777" w:line="269" w:lineRule="exact"/>
        <w:ind w:left="2232" w:right="144"/>
        <w:textAlignment w:val="baseline"/>
        <w:rPr>
          <w:rFonts w:eastAsia="Times New Roman"/>
          <w:i/>
          <w:color w:val="1B1B1B"/>
          <w:sz w:val="20"/>
        </w:rPr>
      </w:pPr>
      <w:r>
        <w:rPr>
          <w:rFonts w:eastAsia="Times New Roman"/>
          <w:i/>
          <w:color w:val="1B1B1B"/>
          <w:sz w:val="20"/>
        </w:rPr>
        <w:lastRenderedPageBreak/>
        <w:t>Development, including any associated Ministerial approval conditions, and the Environmental Protection (Darling Range Bauxite Mining Proposals) Exemption Order 2023;</w:t>
      </w:r>
    </w:p>
    <w:p w14:paraId="78E2589F" w14:textId="77777777" w:rsidR="00AB2B19" w:rsidRDefault="00626CE5">
      <w:pPr>
        <w:numPr>
          <w:ilvl w:val="0"/>
          <w:numId w:val="8"/>
        </w:numPr>
        <w:tabs>
          <w:tab w:val="left" w:pos="2232"/>
        </w:tabs>
        <w:spacing w:before="142" w:line="271" w:lineRule="exact"/>
        <w:ind w:left="2232" w:right="144" w:hanging="576"/>
        <w:textAlignment w:val="baseline"/>
        <w:rPr>
          <w:rFonts w:eastAsia="Times New Roman"/>
          <w:i/>
          <w:color w:val="1B1B1B"/>
          <w:sz w:val="20"/>
        </w:rPr>
      </w:pPr>
      <w:r>
        <w:rPr>
          <w:rFonts w:eastAsia="Times New Roman"/>
          <w:i/>
          <w:color w:val="1B1B1B"/>
          <w:sz w:val="20"/>
        </w:rPr>
        <w:t>that the residual adverse impacts of will be compensated by an offset in accordance with the EPBC Act Environmental Offsets Policy dated October 2012; and</w:t>
      </w:r>
    </w:p>
    <w:p w14:paraId="1E6ED662" w14:textId="77777777" w:rsidR="00AB2B19" w:rsidRDefault="00626CE5">
      <w:pPr>
        <w:numPr>
          <w:ilvl w:val="0"/>
          <w:numId w:val="8"/>
        </w:numPr>
        <w:tabs>
          <w:tab w:val="left" w:pos="2232"/>
        </w:tabs>
        <w:spacing w:before="138" w:line="272" w:lineRule="exact"/>
        <w:ind w:left="2232" w:right="288" w:hanging="576"/>
        <w:textAlignment w:val="baseline"/>
        <w:rPr>
          <w:rFonts w:eastAsia="Times New Roman"/>
          <w:i/>
          <w:color w:val="1B1B1B"/>
          <w:sz w:val="20"/>
        </w:rPr>
      </w:pPr>
      <w:r>
        <w:rPr>
          <w:rFonts w:eastAsia="Times New Roman"/>
          <w:i/>
          <w:color w:val="1B1B1B"/>
          <w:sz w:val="20"/>
        </w:rPr>
        <w:t>undertaken from the date the exemption takes effect until the date that is 18 months later.</w:t>
      </w:r>
    </w:p>
    <w:p w14:paraId="1D232294" w14:textId="77777777" w:rsidR="00AB2B19" w:rsidRDefault="00626CE5">
      <w:pPr>
        <w:numPr>
          <w:ilvl w:val="0"/>
          <w:numId w:val="9"/>
        </w:numPr>
        <w:tabs>
          <w:tab w:val="clear" w:pos="504"/>
          <w:tab w:val="left" w:pos="648"/>
        </w:tabs>
        <w:spacing w:before="145" w:line="293" w:lineRule="exact"/>
        <w:ind w:left="648" w:right="144" w:hanging="504"/>
        <w:textAlignment w:val="baseline"/>
        <w:rPr>
          <w:rFonts w:eastAsia="Times New Roman"/>
          <w:color w:val="1B1B1B"/>
          <w:spacing w:val="-4"/>
          <w:sz w:val="23"/>
        </w:rPr>
      </w:pPr>
      <w:r>
        <w:rPr>
          <w:rFonts w:eastAsia="Times New Roman"/>
          <w:color w:val="1B1B1B"/>
          <w:spacing w:val="-4"/>
          <w:sz w:val="23"/>
        </w:rPr>
        <w:t xml:space="preserve">In short, Alcoa is seeking a national interest exemption under s 158 of the EPBC Act to clear up to 1,200 hectares of vegetation on ML I SA associated with the Huntly and Willowdale mining operation </w:t>
      </w:r>
      <w:r>
        <w:rPr>
          <w:rFonts w:eastAsia="Times New Roman"/>
          <w:b/>
          <w:color w:val="1B1B1B"/>
          <w:spacing w:val="-4"/>
          <w:sz w:val="20"/>
        </w:rPr>
        <w:t xml:space="preserve">(action). </w:t>
      </w:r>
      <w:r>
        <w:rPr>
          <w:rFonts w:eastAsia="Times New Roman"/>
          <w:color w:val="1B1B1B"/>
          <w:spacing w:val="-4"/>
          <w:sz w:val="23"/>
        </w:rPr>
        <w:t>The clearing (of up to 1,200 ha over the term of the proposed exemption) was to enable the Project to progress. That is, the action is required for the purposes of the Project remaining viable.</w:t>
      </w:r>
    </w:p>
    <w:p w14:paraId="67F24B59" w14:textId="77777777" w:rsidR="00AB2B19" w:rsidRDefault="00626CE5">
      <w:pPr>
        <w:numPr>
          <w:ilvl w:val="0"/>
          <w:numId w:val="9"/>
        </w:numPr>
        <w:tabs>
          <w:tab w:val="clear" w:pos="504"/>
          <w:tab w:val="left" w:pos="648"/>
        </w:tabs>
        <w:spacing w:before="149" w:line="293" w:lineRule="exact"/>
        <w:ind w:left="648" w:right="288" w:hanging="504"/>
        <w:textAlignment w:val="baseline"/>
        <w:rPr>
          <w:rFonts w:eastAsia="Times New Roman"/>
          <w:color w:val="1B1B1B"/>
          <w:sz w:val="23"/>
        </w:rPr>
      </w:pPr>
      <w:r>
        <w:rPr>
          <w:rFonts w:eastAsia="Times New Roman"/>
          <w:color w:val="1B1B1B"/>
          <w:sz w:val="23"/>
        </w:rPr>
        <w:t>I adopt the department's summary of the reasons Alcoa stated I should grant a national interest exemption, namely that the exemption is in the national interest and should be granted to:</w:t>
      </w:r>
    </w:p>
    <w:p w14:paraId="55418F64" w14:textId="77777777" w:rsidR="00AB2B19" w:rsidRDefault="00626CE5">
      <w:pPr>
        <w:numPr>
          <w:ilvl w:val="0"/>
          <w:numId w:val="10"/>
        </w:numPr>
        <w:tabs>
          <w:tab w:val="clear" w:pos="576"/>
          <w:tab w:val="left" w:pos="1224"/>
        </w:tabs>
        <w:spacing w:before="144" w:line="293" w:lineRule="exact"/>
        <w:ind w:left="1224" w:right="288" w:hanging="576"/>
        <w:textAlignment w:val="baseline"/>
        <w:rPr>
          <w:rFonts w:eastAsia="Times New Roman"/>
          <w:color w:val="1B1B1B"/>
          <w:spacing w:val="-6"/>
          <w:sz w:val="23"/>
        </w:rPr>
      </w:pPr>
      <w:r>
        <w:rPr>
          <w:rFonts w:eastAsia="Times New Roman"/>
          <w:color w:val="1B1B1B"/>
          <w:spacing w:val="-6"/>
          <w:sz w:val="23"/>
        </w:rPr>
        <w:t>avoid unintended consequences of amendments to the EPBC Act — Alcoa cannot maintain ongoing supply of bauxite without clearing, and if ongoing supply cannot be maintained this will impact future production of Gallium. Due to the rapid introduction of the amendments, Alcoa has not been able to assess whether the action has, will have, or is likely to have, a significant impact on a protected matter;</w:t>
      </w:r>
    </w:p>
    <w:p w14:paraId="4F26C50C" w14:textId="77777777" w:rsidR="00AB2B19" w:rsidRDefault="00626CE5">
      <w:pPr>
        <w:numPr>
          <w:ilvl w:val="0"/>
          <w:numId w:val="10"/>
        </w:numPr>
        <w:tabs>
          <w:tab w:val="clear" w:pos="576"/>
          <w:tab w:val="left" w:pos="1224"/>
        </w:tabs>
        <w:spacing w:before="138" w:line="293" w:lineRule="exact"/>
        <w:ind w:left="1224" w:right="144" w:hanging="576"/>
        <w:textAlignment w:val="baseline"/>
        <w:rPr>
          <w:rFonts w:eastAsia="Times New Roman"/>
          <w:color w:val="1B1B1B"/>
          <w:spacing w:val="-4"/>
          <w:sz w:val="23"/>
        </w:rPr>
      </w:pPr>
      <w:r>
        <w:rPr>
          <w:rFonts w:eastAsia="Times New Roman"/>
          <w:color w:val="1B1B1B"/>
          <w:spacing w:val="-4"/>
          <w:sz w:val="23"/>
        </w:rPr>
        <w:t>no impediment to the exercise of rights and discharge of obligations of the Australian government as contemplated in its agreement with Alcoa and the United States government in respect to the Project</w:t>
      </w:r>
      <w:r>
        <w:rPr>
          <w:rFonts w:eastAsia="Times New Roman"/>
          <w:color w:val="666666"/>
          <w:spacing w:val="-4"/>
          <w:sz w:val="23"/>
        </w:rPr>
        <w:t xml:space="preserve"> -</w:t>
      </w:r>
      <w:r>
        <w:rPr>
          <w:rFonts w:eastAsia="Times New Roman"/>
          <w:color w:val="1B1B1B"/>
          <w:spacing w:val="-4"/>
          <w:sz w:val="23"/>
        </w:rPr>
        <w:t xml:space="preserve"> Gallium production is critical to Australia's national security, and the continued development and viability of the Project is dependent on Alcoa's ability to provide spent liquor as a raw material for Gallium production. This depends on the financial sustainability of Alcoa's operations which will be materially impacted by the ceasing operations while the EPBC Act approval process is undertaken. </w:t>
      </w:r>
      <w:proofErr w:type="gramStart"/>
      <w:r>
        <w:rPr>
          <w:rFonts w:eastAsia="Times New Roman"/>
          <w:color w:val="1B1B1B"/>
          <w:spacing w:val="-4"/>
          <w:sz w:val="23"/>
        </w:rPr>
        <w:t>This risks</w:t>
      </w:r>
      <w:proofErr w:type="gramEnd"/>
      <w:r>
        <w:rPr>
          <w:rFonts w:eastAsia="Times New Roman"/>
          <w:color w:val="1B1B1B"/>
          <w:spacing w:val="-4"/>
          <w:sz w:val="23"/>
        </w:rPr>
        <w:t xml:space="preserve"> impeding the ability of the Australian Government to meet the expectations and obligations it has </w:t>
      </w:r>
      <w:proofErr w:type="gramStart"/>
      <w:r>
        <w:rPr>
          <w:rFonts w:eastAsia="Times New Roman"/>
          <w:color w:val="1B1B1B"/>
          <w:spacing w:val="-4"/>
          <w:sz w:val="23"/>
        </w:rPr>
        <w:t>entered into</w:t>
      </w:r>
      <w:proofErr w:type="gramEnd"/>
      <w:r>
        <w:rPr>
          <w:rFonts w:eastAsia="Times New Roman"/>
          <w:color w:val="1B1B1B"/>
          <w:spacing w:val="-4"/>
          <w:sz w:val="23"/>
        </w:rPr>
        <w:t xml:space="preserve"> with the United States and Japan, and impacting the bilateral relations between the </w:t>
      </w:r>
      <w:proofErr w:type="gramStart"/>
      <w:r>
        <w:rPr>
          <w:rFonts w:eastAsia="Times New Roman"/>
          <w:color w:val="1B1B1B"/>
          <w:spacing w:val="-4"/>
          <w:sz w:val="23"/>
        </w:rPr>
        <w:t>governments;</w:t>
      </w:r>
      <w:proofErr w:type="gramEnd"/>
    </w:p>
    <w:p w14:paraId="1D622F69" w14:textId="77777777" w:rsidR="00AB2B19" w:rsidRDefault="00626CE5">
      <w:pPr>
        <w:numPr>
          <w:ilvl w:val="0"/>
          <w:numId w:val="10"/>
        </w:numPr>
        <w:tabs>
          <w:tab w:val="clear" w:pos="576"/>
          <w:tab w:val="left" w:pos="1224"/>
        </w:tabs>
        <w:spacing w:before="144" w:line="293" w:lineRule="exact"/>
        <w:ind w:left="1224" w:right="144" w:hanging="576"/>
        <w:textAlignment w:val="baseline"/>
        <w:rPr>
          <w:rFonts w:eastAsia="Times New Roman"/>
          <w:color w:val="1B1B1B"/>
          <w:spacing w:val="-4"/>
          <w:sz w:val="23"/>
        </w:rPr>
      </w:pPr>
      <w:r>
        <w:rPr>
          <w:rFonts w:eastAsia="Times New Roman"/>
          <w:color w:val="1B1B1B"/>
          <w:spacing w:val="-4"/>
          <w:sz w:val="23"/>
        </w:rPr>
        <w:t>provide legal certainty for the ongoing conduct of Alcoa's operations which make a significant contribution to the Australian economy and the supply chain for strategically important materials for Australia — the Huntly and Willowdale operations employ 6,000 persons and Alcoa contributes a significant amount to the economy through its operations.</w:t>
      </w:r>
    </w:p>
    <w:p w14:paraId="4C24864A" w14:textId="77777777" w:rsidR="00AB2B19" w:rsidRDefault="00AB2B19">
      <w:pPr>
        <w:sectPr w:rsidR="00AB2B19">
          <w:pgSz w:w="11904" w:h="16834"/>
          <w:pgMar w:top="880" w:right="1548" w:bottom="658" w:left="1745" w:header="720" w:footer="720" w:gutter="0"/>
          <w:cols w:space="720"/>
        </w:sectPr>
      </w:pPr>
    </w:p>
    <w:p w14:paraId="384165F6" w14:textId="77777777" w:rsidR="00AB2B19" w:rsidRDefault="00626CE5">
      <w:pPr>
        <w:numPr>
          <w:ilvl w:val="0"/>
          <w:numId w:val="11"/>
        </w:numPr>
        <w:tabs>
          <w:tab w:val="clear" w:pos="504"/>
          <w:tab w:val="left" w:pos="648"/>
        </w:tabs>
        <w:spacing w:before="822" w:line="318" w:lineRule="exact"/>
        <w:ind w:left="648" w:right="144" w:hanging="504"/>
        <w:textAlignment w:val="baseline"/>
        <w:rPr>
          <w:rFonts w:eastAsia="Times New Roman"/>
          <w:color w:val="000000"/>
          <w:sz w:val="24"/>
        </w:rPr>
      </w:pPr>
      <w:r>
        <w:rPr>
          <w:rFonts w:eastAsia="Times New Roman"/>
          <w:color w:val="000000"/>
          <w:sz w:val="24"/>
        </w:rPr>
        <w:lastRenderedPageBreak/>
        <w:t>In addition to the undertaking regarding the strategic assessment, Alcoa also stated that offsets for any operations covered by the exemption will be offset, and an amount of approximately $4.2 million has been `earmarked".</w:t>
      </w:r>
    </w:p>
    <w:p w14:paraId="3FF154F3" w14:textId="77777777" w:rsidR="00AB2B19" w:rsidRDefault="00626CE5" w:rsidP="00F2035B">
      <w:pPr>
        <w:pStyle w:val="Heading1"/>
      </w:pPr>
      <w:r>
        <w:t>Materials Considered</w:t>
      </w:r>
    </w:p>
    <w:p w14:paraId="2854CC2A" w14:textId="77777777" w:rsidR="00AB2B19" w:rsidRDefault="00626CE5">
      <w:pPr>
        <w:numPr>
          <w:ilvl w:val="0"/>
          <w:numId w:val="11"/>
        </w:numPr>
        <w:tabs>
          <w:tab w:val="clear" w:pos="504"/>
          <w:tab w:val="left" w:pos="648"/>
        </w:tabs>
        <w:spacing w:before="164" w:line="318" w:lineRule="exact"/>
        <w:ind w:left="648" w:hanging="504"/>
        <w:textAlignment w:val="baseline"/>
        <w:rPr>
          <w:rFonts w:eastAsia="Times New Roman"/>
          <w:color w:val="000000"/>
          <w:spacing w:val="-1"/>
          <w:sz w:val="24"/>
        </w:rPr>
      </w:pPr>
      <w:r>
        <w:rPr>
          <w:rFonts w:eastAsia="Times New Roman"/>
          <w:color w:val="000000"/>
          <w:spacing w:val="-1"/>
          <w:sz w:val="24"/>
        </w:rPr>
        <w:t>In making my decision, I have considered the information that was provided in my brief prepared by the department dated 12 February 2026, including each of its attachments.</w:t>
      </w:r>
    </w:p>
    <w:p w14:paraId="58293196" w14:textId="77777777" w:rsidR="00AB2B19" w:rsidRDefault="00626CE5" w:rsidP="00F2035B">
      <w:pPr>
        <w:pStyle w:val="Heading1"/>
      </w:pPr>
      <w:r>
        <w:t>Issue</w:t>
      </w:r>
    </w:p>
    <w:p w14:paraId="3F602886" w14:textId="77777777" w:rsidR="00AB2B19" w:rsidRDefault="00626CE5">
      <w:pPr>
        <w:numPr>
          <w:ilvl w:val="0"/>
          <w:numId w:val="11"/>
        </w:numPr>
        <w:tabs>
          <w:tab w:val="clear" w:pos="504"/>
          <w:tab w:val="left" w:pos="648"/>
        </w:tabs>
        <w:spacing w:before="161" w:line="318" w:lineRule="exact"/>
        <w:ind w:left="648" w:right="360" w:hanging="504"/>
        <w:textAlignment w:val="baseline"/>
        <w:rPr>
          <w:rFonts w:eastAsia="Times New Roman"/>
          <w:color w:val="000000"/>
          <w:sz w:val="24"/>
        </w:rPr>
      </w:pPr>
      <w:r>
        <w:rPr>
          <w:rFonts w:eastAsia="Times New Roman"/>
          <w:color w:val="000000"/>
          <w:sz w:val="24"/>
        </w:rPr>
        <w:t>Under s 158(1), a person proposing to take a controlled action, or the designated proponent of an action, may apply in writing to the Minister for an exemption from a specified provision of Part 3 or of this Chapter. I accept that the application dated 30 January 2026 is an application for the purposes of s 158(1).</w:t>
      </w:r>
    </w:p>
    <w:p w14:paraId="66FF7F22" w14:textId="77777777" w:rsidR="00AB2B19" w:rsidRDefault="00626CE5">
      <w:pPr>
        <w:numPr>
          <w:ilvl w:val="0"/>
          <w:numId w:val="11"/>
        </w:numPr>
        <w:tabs>
          <w:tab w:val="clear" w:pos="504"/>
          <w:tab w:val="left" w:pos="648"/>
        </w:tabs>
        <w:spacing w:before="159" w:line="318" w:lineRule="exact"/>
        <w:ind w:left="648" w:hanging="504"/>
        <w:textAlignment w:val="baseline"/>
        <w:rPr>
          <w:rFonts w:eastAsia="Times New Roman"/>
          <w:color w:val="000000"/>
          <w:sz w:val="24"/>
        </w:rPr>
      </w:pPr>
      <w:r>
        <w:rPr>
          <w:rFonts w:eastAsia="Times New Roman"/>
          <w:color w:val="000000"/>
          <w:sz w:val="24"/>
        </w:rPr>
        <w:t>The issue before me is whether I should exempt Alcoa from Part 3 and Parts 7-9 of the EPBC Act in relation to the action. I can only grant an exemption if I am satisfied that it is in the national interest to do so.</w:t>
      </w:r>
    </w:p>
    <w:p w14:paraId="72BD2F1D" w14:textId="77777777" w:rsidR="00AB2B19" w:rsidRDefault="00626CE5">
      <w:pPr>
        <w:numPr>
          <w:ilvl w:val="0"/>
          <w:numId w:val="11"/>
        </w:numPr>
        <w:tabs>
          <w:tab w:val="clear" w:pos="504"/>
          <w:tab w:val="left" w:pos="648"/>
        </w:tabs>
        <w:spacing w:before="160" w:line="318" w:lineRule="exact"/>
        <w:ind w:left="648" w:right="144" w:hanging="504"/>
        <w:textAlignment w:val="baseline"/>
        <w:rPr>
          <w:rFonts w:eastAsia="Times New Roman"/>
          <w:color w:val="000000"/>
          <w:sz w:val="24"/>
        </w:rPr>
      </w:pPr>
      <w:r>
        <w:rPr>
          <w:rFonts w:eastAsia="Times New Roman"/>
          <w:color w:val="000000"/>
          <w:sz w:val="24"/>
        </w:rPr>
        <w:t xml:space="preserve">The `national interest' is not defined in the EPBC Act. Sub-section 158(5) states that in determining the national interest, I may consider Australia's defence or security or a national emergency. The concept of the national interest is broad, though not unbounded, and largely a political question. Ultimately, I must be satisfied that some identified aspect of the national interest will be served, advanced or promoted by the granting of the exemption of the action from </w:t>
      </w:r>
      <w:proofErr w:type="gramStart"/>
      <w:r>
        <w:rPr>
          <w:rFonts w:eastAsia="Times New Roman"/>
          <w:color w:val="000000"/>
          <w:sz w:val="24"/>
        </w:rPr>
        <w:t>particular Part</w:t>
      </w:r>
      <w:proofErr w:type="gramEnd"/>
      <w:r>
        <w:rPr>
          <w:rFonts w:eastAsia="Times New Roman"/>
          <w:color w:val="000000"/>
          <w:sz w:val="24"/>
        </w:rPr>
        <w:t xml:space="preserve"> 3 and Parts 7-9 of the EPBC Act.</w:t>
      </w:r>
    </w:p>
    <w:p w14:paraId="5EC55DB9" w14:textId="77777777" w:rsidR="00AB2B19" w:rsidRDefault="00626CE5" w:rsidP="00F2035B">
      <w:pPr>
        <w:pStyle w:val="Heading1"/>
      </w:pPr>
      <w:r>
        <w:t>Findings and Reasons:</w:t>
      </w:r>
    </w:p>
    <w:p w14:paraId="54A97B84" w14:textId="77777777" w:rsidR="00AB2B19" w:rsidRDefault="00626CE5">
      <w:pPr>
        <w:numPr>
          <w:ilvl w:val="0"/>
          <w:numId w:val="11"/>
        </w:numPr>
        <w:tabs>
          <w:tab w:val="clear" w:pos="504"/>
          <w:tab w:val="left" w:pos="648"/>
        </w:tabs>
        <w:spacing w:before="159" w:line="318" w:lineRule="exact"/>
        <w:ind w:left="648" w:right="288" w:hanging="504"/>
        <w:textAlignment w:val="baseline"/>
        <w:rPr>
          <w:rFonts w:eastAsia="Times New Roman"/>
          <w:color w:val="000000"/>
          <w:sz w:val="24"/>
        </w:rPr>
      </w:pPr>
      <w:r>
        <w:rPr>
          <w:rFonts w:eastAsia="Times New Roman"/>
          <w:color w:val="000000"/>
          <w:sz w:val="24"/>
        </w:rPr>
        <w:t xml:space="preserve">I note that Gallium is identified on the Critical Mineral List, and that minerals on that list are included for the reasons set out at [10] above. The Future Made in Australia National Interest Framework also </w:t>
      </w:r>
      <w:proofErr w:type="spellStart"/>
      <w:r>
        <w:rPr>
          <w:rFonts w:eastAsia="Times New Roman"/>
          <w:color w:val="000000"/>
          <w:sz w:val="24"/>
        </w:rPr>
        <w:t>emphasises</w:t>
      </w:r>
      <w:proofErr w:type="spellEnd"/>
      <w:r>
        <w:rPr>
          <w:rFonts w:eastAsia="Times New Roman"/>
          <w:color w:val="000000"/>
          <w:sz w:val="24"/>
        </w:rPr>
        <w:t xml:space="preserve"> the importance of critical mineral processing, stating:</w:t>
      </w:r>
    </w:p>
    <w:p w14:paraId="04F453B8" w14:textId="77777777" w:rsidR="00AB2B19" w:rsidRDefault="00626CE5">
      <w:pPr>
        <w:spacing w:before="166" w:line="291" w:lineRule="exact"/>
        <w:ind w:left="1224" w:right="144"/>
        <w:textAlignment w:val="baseline"/>
        <w:rPr>
          <w:rFonts w:eastAsia="Times New Roman"/>
          <w:i/>
          <w:color w:val="000000"/>
          <w:spacing w:val="-9"/>
          <w:sz w:val="24"/>
        </w:rPr>
      </w:pPr>
      <w:r>
        <w:rPr>
          <w:rFonts w:eastAsia="Times New Roman"/>
          <w:i/>
          <w:color w:val="000000"/>
          <w:spacing w:val="-9"/>
          <w:sz w:val="24"/>
        </w:rPr>
        <w:t>A stable and diversified supply of critical minerals is critical to the smooth operation of global and domestic supply chains, including to support the net zero transformation, defence industries and a range of other applications. However, currently:</w:t>
      </w:r>
    </w:p>
    <w:p w14:paraId="2C3C6860" w14:textId="77777777" w:rsidR="00AB2B19" w:rsidRDefault="00626CE5">
      <w:pPr>
        <w:numPr>
          <w:ilvl w:val="0"/>
          <w:numId w:val="12"/>
        </w:numPr>
        <w:tabs>
          <w:tab w:val="clear" w:pos="576"/>
          <w:tab w:val="left" w:pos="1800"/>
        </w:tabs>
        <w:spacing w:before="159" w:line="296" w:lineRule="exact"/>
        <w:ind w:left="1800" w:hanging="576"/>
        <w:textAlignment w:val="baseline"/>
        <w:rPr>
          <w:rFonts w:eastAsia="Times New Roman"/>
          <w:i/>
          <w:color w:val="000000"/>
          <w:spacing w:val="-7"/>
          <w:sz w:val="24"/>
        </w:rPr>
      </w:pPr>
      <w:r>
        <w:rPr>
          <w:rFonts w:eastAsia="Times New Roman"/>
          <w:i/>
          <w:color w:val="000000"/>
          <w:spacing w:val="-7"/>
          <w:sz w:val="24"/>
        </w:rPr>
        <w:t>Global supply is highly concentrated and vulnerable to disruption;</w:t>
      </w:r>
    </w:p>
    <w:p w14:paraId="247CFD00" w14:textId="77777777" w:rsidR="00AB2B19" w:rsidRDefault="00626CE5">
      <w:pPr>
        <w:numPr>
          <w:ilvl w:val="0"/>
          <w:numId w:val="12"/>
        </w:numPr>
        <w:tabs>
          <w:tab w:val="clear" w:pos="576"/>
          <w:tab w:val="left" w:pos="1800"/>
        </w:tabs>
        <w:spacing w:before="155" w:line="292" w:lineRule="exact"/>
        <w:ind w:left="1800" w:right="504" w:hanging="576"/>
        <w:textAlignment w:val="baseline"/>
        <w:rPr>
          <w:rFonts w:eastAsia="Times New Roman"/>
          <w:i/>
          <w:color w:val="000000"/>
          <w:sz w:val="24"/>
        </w:rPr>
      </w:pPr>
      <w:r>
        <w:rPr>
          <w:rFonts w:eastAsia="Times New Roman"/>
          <w:i/>
          <w:color w:val="000000"/>
          <w:sz w:val="24"/>
        </w:rPr>
        <w:t>There is limited capacity for the industry to quickly adapt and respond to any shock; and</w:t>
      </w:r>
    </w:p>
    <w:p w14:paraId="6A029F78" w14:textId="4E07CD42" w:rsidR="00AB2B19" w:rsidRDefault="00626CE5">
      <w:pPr>
        <w:numPr>
          <w:ilvl w:val="0"/>
          <w:numId w:val="12"/>
        </w:numPr>
        <w:tabs>
          <w:tab w:val="clear" w:pos="576"/>
          <w:tab w:val="left" w:pos="1800"/>
        </w:tabs>
        <w:spacing w:before="156" w:line="296" w:lineRule="exact"/>
        <w:ind w:left="1800" w:hanging="576"/>
        <w:textAlignment w:val="baseline"/>
        <w:rPr>
          <w:rFonts w:eastAsia="Times New Roman"/>
          <w:i/>
          <w:color w:val="000000"/>
          <w:spacing w:val="-7"/>
          <w:sz w:val="24"/>
        </w:rPr>
      </w:pPr>
      <w:r>
        <w:rPr>
          <w:rFonts w:eastAsia="Times New Roman"/>
          <w:i/>
          <w:color w:val="000000"/>
          <w:spacing w:val="-7"/>
          <w:sz w:val="24"/>
        </w:rPr>
        <w:t xml:space="preserve">The consequences of a serious supply disruption would </w:t>
      </w:r>
      <w:r w:rsidR="004951C3">
        <w:rPr>
          <w:rFonts w:eastAsia="Times New Roman"/>
          <w:i/>
          <w:color w:val="000000"/>
          <w:spacing w:val="-7"/>
          <w:sz w:val="24"/>
        </w:rPr>
        <w:t>b</w:t>
      </w:r>
      <w:r>
        <w:rPr>
          <w:rFonts w:eastAsia="Times New Roman"/>
          <w:i/>
          <w:color w:val="000000"/>
          <w:spacing w:val="-7"/>
          <w:sz w:val="24"/>
        </w:rPr>
        <w:t>e significant.</w:t>
      </w:r>
    </w:p>
    <w:p w14:paraId="01ACC0D3" w14:textId="77777777" w:rsidR="00AB2B19" w:rsidRDefault="00626CE5">
      <w:pPr>
        <w:spacing w:before="612" w:line="291" w:lineRule="exact"/>
        <w:ind w:left="1224" w:right="144"/>
        <w:textAlignment w:val="baseline"/>
        <w:rPr>
          <w:rFonts w:eastAsia="Times New Roman"/>
          <w:i/>
          <w:color w:val="000000"/>
          <w:spacing w:val="-9"/>
          <w:sz w:val="24"/>
        </w:rPr>
      </w:pPr>
      <w:r>
        <w:rPr>
          <w:rFonts w:eastAsia="Times New Roman"/>
          <w:i/>
          <w:color w:val="000000"/>
          <w:spacing w:val="-9"/>
          <w:sz w:val="24"/>
        </w:rPr>
        <w:t>Critical minerals are important to the economic resilience and security of countries because they enable a range of technologies required for the basic functioning of a modern society, including defence and communications technologies. The global race to secure supplies of critical minerals is accelerating rapidly.</w:t>
      </w:r>
    </w:p>
    <w:p w14:paraId="26F42219" w14:textId="77777777" w:rsidR="00AB2B19" w:rsidRDefault="00AB2B19">
      <w:pPr>
        <w:sectPr w:rsidR="00AB2B19">
          <w:pgSz w:w="11904" w:h="16834"/>
          <w:pgMar w:top="360" w:right="1321" w:bottom="97" w:left="1403" w:header="720" w:footer="720" w:gutter="0"/>
          <w:cols w:space="720"/>
        </w:sectPr>
      </w:pPr>
    </w:p>
    <w:p w14:paraId="15095682" w14:textId="77777777" w:rsidR="00AB2B19" w:rsidRDefault="00626CE5">
      <w:pPr>
        <w:spacing w:before="779" w:line="269" w:lineRule="exact"/>
        <w:ind w:left="1224" w:right="360"/>
        <w:textAlignment w:val="baseline"/>
        <w:rPr>
          <w:rFonts w:eastAsia="Times New Roman"/>
          <w:i/>
          <w:color w:val="000000"/>
          <w:spacing w:val="-9"/>
        </w:rPr>
      </w:pPr>
      <w:r>
        <w:rPr>
          <w:rFonts w:eastAsia="Times New Roman"/>
          <w:i/>
          <w:color w:val="000000"/>
          <w:spacing w:val="-9"/>
        </w:rPr>
        <w:lastRenderedPageBreak/>
        <w:t xml:space="preserve">Critical mineral supply chains are also prone to disruption because mineral production and processing </w:t>
      </w:r>
      <w:proofErr w:type="gramStart"/>
      <w:r>
        <w:rPr>
          <w:rFonts w:eastAsia="Times New Roman"/>
          <w:i/>
          <w:color w:val="000000"/>
          <w:spacing w:val="-9"/>
        </w:rPr>
        <w:t>is</w:t>
      </w:r>
      <w:proofErr w:type="gramEnd"/>
      <w:r>
        <w:rPr>
          <w:rFonts w:eastAsia="Times New Roman"/>
          <w:i/>
          <w:color w:val="000000"/>
          <w:spacing w:val="-9"/>
        </w:rPr>
        <w:t xml:space="preserve"> heavily concentrated </w:t>
      </w:r>
      <w:proofErr w:type="gramStart"/>
      <w:r>
        <w:rPr>
          <w:rFonts w:eastAsia="Times New Roman"/>
          <w:i/>
          <w:color w:val="000000"/>
          <w:spacing w:val="-9"/>
        </w:rPr>
        <w:t>in particular locations</w:t>
      </w:r>
      <w:proofErr w:type="gramEnd"/>
      <w:r>
        <w:rPr>
          <w:rFonts w:eastAsia="Times New Roman"/>
          <w:i/>
          <w:color w:val="000000"/>
          <w:spacing w:val="-9"/>
        </w:rPr>
        <w:t>, facilities or companies. Supply chains that are highly concentrated, are typically fragile, volatile and lack transparency...</w:t>
      </w:r>
    </w:p>
    <w:p w14:paraId="224872D9" w14:textId="77777777" w:rsidR="00AB2B19" w:rsidRDefault="00626CE5">
      <w:pPr>
        <w:tabs>
          <w:tab w:val="decimal" w:pos="432"/>
          <w:tab w:val="left" w:pos="720"/>
        </w:tabs>
        <w:spacing w:before="184" w:line="250" w:lineRule="exact"/>
        <w:ind w:left="144"/>
        <w:textAlignment w:val="baseline"/>
        <w:rPr>
          <w:rFonts w:eastAsia="Times New Roman"/>
          <w:color w:val="000000"/>
        </w:rPr>
      </w:pPr>
      <w:r>
        <w:rPr>
          <w:rFonts w:eastAsia="Times New Roman"/>
          <w:color w:val="000000"/>
        </w:rPr>
        <w:tab/>
        <w:t>33.</w:t>
      </w:r>
      <w:r>
        <w:rPr>
          <w:rFonts w:eastAsia="Times New Roman"/>
          <w:color w:val="000000"/>
        </w:rPr>
        <w:tab/>
        <w:t>Alcoa explains that the continued development and viability of the Project is dependent</w:t>
      </w:r>
    </w:p>
    <w:p w14:paraId="506ABC75" w14:textId="77777777" w:rsidR="00AB2B19" w:rsidRDefault="00626CE5">
      <w:pPr>
        <w:spacing w:before="2" w:line="292" w:lineRule="exact"/>
        <w:ind w:left="648" w:right="576"/>
        <w:textAlignment w:val="baseline"/>
        <w:rPr>
          <w:rFonts w:eastAsia="Times New Roman"/>
          <w:color w:val="000000"/>
          <w:spacing w:val="-1"/>
        </w:rPr>
      </w:pPr>
      <w:r>
        <w:rPr>
          <w:rFonts w:eastAsia="Times New Roman"/>
          <w:color w:val="000000"/>
          <w:spacing w:val="-1"/>
        </w:rPr>
        <w:t>on Alcoa's ability to provide spent liquor as a raw material for Gallium production. Alcoa's ability to provide spent liquor depends on the financial sustainability of Alcoa's operations in Australia, including the Huntly and Willowdale mining operations, both of which will be materially impacted without an exemption.</w:t>
      </w:r>
    </w:p>
    <w:p w14:paraId="29CCB53D" w14:textId="77777777" w:rsidR="00AB2B19" w:rsidRDefault="00626CE5">
      <w:pPr>
        <w:tabs>
          <w:tab w:val="decimal" w:pos="432"/>
          <w:tab w:val="left" w:pos="720"/>
        </w:tabs>
        <w:spacing w:before="193" w:line="250" w:lineRule="exact"/>
        <w:ind w:left="144"/>
        <w:textAlignment w:val="baseline"/>
        <w:rPr>
          <w:rFonts w:eastAsia="Times New Roman"/>
          <w:color w:val="000000"/>
          <w:spacing w:val="-2"/>
        </w:rPr>
      </w:pPr>
      <w:r>
        <w:rPr>
          <w:rFonts w:eastAsia="Times New Roman"/>
          <w:color w:val="000000"/>
          <w:spacing w:val="-2"/>
        </w:rPr>
        <w:tab/>
        <w:t>34.</w:t>
      </w:r>
      <w:r>
        <w:rPr>
          <w:rFonts w:eastAsia="Times New Roman"/>
          <w:color w:val="000000"/>
          <w:spacing w:val="-2"/>
        </w:rPr>
        <w:tab/>
        <w:t>I accept that:</w:t>
      </w:r>
    </w:p>
    <w:p w14:paraId="2D51ABBE" w14:textId="77777777" w:rsidR="00AB2B19" w:rsidRDefault="00626CE5">
      <w:pPr>
        <w:numPr>
          <w:ilvl w:val="0"/>
          <w:numId w:val="13"/>
        </w:numPr>
        <w:tabs>
          <w:tab w:val="clear" w:pos="576"/>
          <w:tab w:val="left" w:pos="1224"/>
        </w:tabs>
        <w:spacing w:before="146" w:line="292" w:lineRule="exact"/>
        <w:ind w:left="1224" w:right="216" w:hanging="576"/>
        <w:textAlignment w:val="baseline"/>
        <w:rPr>
          <w:rFonts w:eastAsia="Times New Roman"/>
          <w:color w:val="000000"/>
          <w:spacing w:val="-2"/>
        </w:rPr>
      </w:pPr>
      <w:r>
        <w:rPr>
          <w:rFonts w:eastAsia="Times New Roman"/>
          <w:color w:val="000000"/>
          <w:spacing w:val="-2"/>
        </w:rPr>
        <w:t>the action is to enable a Project that has been endorsed by both the United States and Japanese governments, to enable processing of Gallium within Australia; and</w:t>
      </w:r>
    </w:p>
    <w:p w14:paraId="313675E9" w14:textId="77777777" w:rsidR="00AB2B19" w:rsidRDefault="00626CE5">
      <w:pPr>
        <w:numPr>
          <w:ilvl w:val="0"/>
          <w:numId w:val="13"/>
        </w:numPr>
        <w:tabs>
          <w:tab w:val="clear" w:pos="576"/>
          <w:tab w:val="left" w:pos="1224"/>
        </w:tabs>
        <w:spacing w:before="144" w:line="296" w:lineRule="exact"/>
        <w:ind w:left="1224" w:right="216" w:hanging="576"/>
        <w:textAlignment w:val="baseline"/>
        <w:rPr>
          <w:rFonts w:eastAsia="Times New Roman"/>
          <w:color w:val="000000"/>
        </w:rPr>
      </w:pPr>
      <w:r>
        <w:rPr>
          <w:rFonts w:eastAsia="Times New Roman"/>
          <w:color w:val="000000"/>
        </w:rPr>
        <w:t>commitments have been made by the Australian and US Governments to the Project in terms of funding and equity, and an agreement reached between Alcoa and Sojitz.</w:t>
      </w:r>
    </w:p>
    <w:p w14:paraId="115635FA" w14:textId="77777777" w:rsidR="00AB2B19" w:rsidRDefault="00626CE5">
      <w:pPr>
        <w:tabs>
          <w:tab w:val="decimal" w:pos="432"/>
          <w:tab w:val="left" w:pos="720"/>
        </w:tabs>
        <w:spacing w:before="180" w:line="250" w:lineRule="exact"/>
        <w:ind w:left="144"/>
        <w:textAlignment w:val="baseline"/>
        <w:rPr>
          <w:rFonts w:eastAsia="Times New Roman"/>
          <w:color w:val="000000"/>
        </w:rPr>
      </w:pPr>
      <w:r>
        <w:rPr>
          <w:rFonts w:eastAsia="Times New Roman"/>
          <w:color w:val="000000"/>
        </w:rPr>
        <w:tab/>
        <w:t>35.</w:t>
      </w:r>
      <w:r>
        <w:rPr>
          <w:rFonts w:eastAsia="Times New Roman"/>
          <w:color w:val="000000"/>
        </w:rPr>
        <w:tab/>
        <w:t>I am satisfied that granting the exemption would be in the national interest because it</w:t>
      </w:r>
    </w:p>
    <w:p w14:paraId="3361727E" w14:textId="77777777" w:rsidR="00AB2B19" w:rsidRDefault="00626CE5">
      <w:pPr>
        <w:spacing w:before="3" w:line="293" w:lineRule="exact"/>
        <w:ind w:left="648" w:right="144"/>
        <w:textAlignment w:val="baseline"/>
        <w:rPr>
          <w:rFonts w:eastAsia="Times New Roman"/>
          <w:color w:val="000000"/>
        </w:rPr>
      </w:pPr>
      <w:r>
        <w:rPr>
          <w:rFonts w:eastAsia="Times New Roman"/>
          <w:color w:val="000000"/>
        </w:rPr>
        <w:t xml:space="preserve">will enable mining operations to continue </w:t>
      </w:r>
      <w:proofErr w:type="gramStart"/>
      <w:r>
        <w:rPr>
          <w:rFonts w:eastAsia="Times New Roman"/>
          <w:color w:val="000000"/>
        </w:rPr>
        <w:t>so as to</w:t>
      </w:r>
      <w:proofErr w:type="gramEnd"/>
      <w:r>
        <w:rPr>
          <w:rFonts w:eastAsia="Times New Roman"/>
          <w:color w:val="000000"/>
        </w:rPr>
        <w:t xml:space="preserve"> preserve the viability of the Project which will enable the production and processing of Gallium. Gallium is used in defence and renewable energy sectors, and local production will enable diversification from the current concentrated nature of global supply, and will further the nation's interests, as reflected.in the Agreement and in the Future Made in Australia National Interest Framework.</w:t>
      </w:r>
    </w:p>
    <w:p w14:paraId="3C7207DE" w14:textId="77777777" w:rsidR="00AB2B19" w:rsidRDefault="00626CE5">
      <w:pPr>
        <w:tabs>
          <w:tab w:val="decimal" w:pos="432"/>
          <w:tab w:val="left" w:pos="720"/>
        </w:tabs>
        <w:spacing w:before="185" w:line="250" w:lineRule="exact"/>
        <w:ind w:left="144"/>
        <w:textAlignment w:val="baseline"/>
        <w:rPr>
          <w:rFonts w:eastAsia="Times New Roman"/>
          <w:color w:val="000000"/>
        </w:rPr>
      </w:pPr>
      <w:r>
        <w:rPr>
          <w:rFonts w:eastAsia="Times New Roman"/>
          <w:color w:val="000000"/>
        </w:rPr>
        <w:tab/>
        <w:t>36.</w:t>
      </w:r>
      <w:r>
        <w:rPr>
          <w:rFonts w:eastAsia="Times New Roman"/>
          <w:color w:val="000000"/>
        </w:rPr>
        <w:tab/>
        <w:t>As noted above, China accounts for 98% of Gallium production. The Project presently</w:t>
      </w:r>
    </w:p>
    <w:p w14:paraId="7DA49D0C" w14:textId="77777777" w:rsidR="00AB2B19" w:rsidRDefault="00626CE5">
      <w:pPr>
        <w:spacing w:before="4" w:line="292" w:lineRule="exact"/>
        <w:ind w:left="648" w:right="216"/>
        <w:textAlignment w:val="baseline"/>
        <w:rPr>
          <w:rFonts w:eastAsia="Times New Roman"/>
          <w:color w:val="000000"/>
        </w:rPr>
      </w:pPr>
      <w:r>
        <w:rPr>
          <w:rFonts w:eastAsia="Times New Roman"/>
          <w:color w:val="000000"/>
        </w:rPr>
        <w:t xml:space="preserve">represents the most viable path to the establishment of domestic Gallium processing </w:t>
      </w:r>
      <w:proofErr w:type="gramStart"/>
      <w:r>
        <w:rPr>
          <w:rFonts w:eastAsia="Times New Roman"/>
          <w:color w:val="000000"/>
        </w:rPr>
        <w:t>in the near future</w:t>
      </w:r>
      <w:proofErr w:type="gramEnd"/>
      <w:r>
        <w:rPr>
          <w:rFonts w:eastAsia="Times New Roman"/>
          <w:color w:val="000000"/>
        </w:rPr>
        <w:t>, noting that there is presently no operational Gallium refinery in Australia and there is no indication that any other bauxite mining operators intend to establish such processing capability. Granting an exemption will serve and promote the national interest in establishing a stable and diversified supply of critical minerals to support the net zero transformation and defence industries. In this regard:</w:t>
      </w:r>
    </w:p>
    <w:p w14:paraId="2F29C78D" w14:textId="77777777" w:rsidR="00AB2B19" w:rsidRDefault="00626CE5">
      <w:pPr>
        <w:numPr>
          <w:ilvl w:val="0"/>
          <w:numId w:val="14"/>
        </w:numPr>
        <w:tabs>
          <w:tab w:val="clear" w:pos="288"/>
          <w:tab w:val="left" w:pos="1512"/>
        </w:tabs>
        <w:spacing w:before="148" w:line="293" w:lineRule="exact"/>
        <w:ind w:left="1512" w:right="360" w:hanging="288"/>
        <w:textAlignment w:val="baseline"/>
        <w:rPr>
          <w:rFonts w:eastAsia="Times New Roman"/>
          <w:color w:val="000000"/>
        </w:rPr>
      </w:pPr>
      <w:r>
        <w:rPr>
          <w:rFonts w:eastAsia="Times New Roman"/>
          <w:color w:val="000000"/>
        </w:rPr>
        <w:t>as noted above, the United States and Australian governments recently endorsed the importance of progressing expeditiously towards gallium production in 2026 to diversify a critical supply chain for the defence sector; and</w:t>
      </w:r>
    </w:p>
    <w:p w14:paraId="70D93F2A" w14:textId="77777777" w:rsidR="00AB2B19" w:rsidRDefault="00626CE5">
      <w:pPr>
        <w:numPr>
          <w:ilvl w:val="0"/>
          <w:numId w:val="14"/>
        </w:numPr>
        <w:tabs>
          <w:tab w:val="clear" w:pos="288"/>
          <w:tab w:val="left" w:pos="1512"/>
        </w:tabs>
        <w:spacing w:before="139" w:line="295" w:lineRule="exact"/>
        <w:ind w:left="1512" w:right="216" w:hanging="288"/>
        <w:textAlignment w:val="baseline"/>
        <w:rPr>
          <w:rFonts w:eastAsia="Times New Roman"/>
          <w:color w:val="000000"/>
        </w:rPr>
      </w:pPr>
      <w:r>
        <w:rPr>
          <w:rFonts w:eastAsia="Times New Roman"/>
          <w:color w:val="000000"/>
        </w:rPr>
        <w:t>Gallium is used in high-efficiency renewable energy systems like solar panels and wind turbines, with renewable energy a key part of the national priorities relating to net zero.</w:t>
      </w:r>
    </w:p>
    <w:p w14:paraId="59593162" w14:textId="77777777" w:rsidR="00AB2B19" w:rsidRDefault="00626CE5">
      <w:pPr>
        <w:tabs>
          <w:tab w:val="decimal" w:pos="432"/>
          <w:tab w:val="left" w:pos="720"/>
        </w:tabs>
        <w:spacing w:before="185" w:line="250" w:lineRule="exact"/>
        <w:ind w:left="144"/>
        <w:textAlignment w:val="baseline"/>
        <w:rPr>
          <w:rFonts w:eastAsia="Times New Roman"/>
          <w:color w:val="000000"/>
        </w:rPr>
      </w:pPr>
      <w:r>
        <w:rPr>
          <w:rFonts w:eastAsia="Times New Roman"/>
          <w:color w:val="000000"/>
        </w:rPr>
        <w:tab/>
        <w:t>37.</w:t>
      </w:r>
      <w:r>
        <w:rPr>
          <w:rFonts w:eastAsia="Times New Roman"/>
          <w:color w:val="000000"/>
        </w:rPr>
        <w:tab/>
        <w:t>1 note the commitment and support of both the United States Government and Japanese</w:t>
      </w:r>
    </w:p>
    <w:p w14:paraId="4DC851A5" w14:textId="77777777" w:rsidR="00AB2B19" w:rsidRDefault="00626CE5">
      <w:pPr>
        <w:spacing w:line="293" w:lineRule="exact"/>
        <w:ind w:left="648" w:right="216"/>
        <w:textAlignment w:val="baseline"/>
        <w:rPr>
          <w:rFonts w:eastAsia="Times New Roman"/>
          <w:color w:val="000000"/>
          <w:spacing w:val="-2"/>
        </w:rPr>
      </w:pPr>
      <w:r>
        <w:rPr>
          <w:rFonts w:eastAsia="Times New Roman"/>
          <w:color w:val="000000"/>
          <w:spacing w:val="-2"/>
        </w:rPr>
        <w:t>Governments to the Project. The United States has committed equity to the Project, and the Japanese Government is funding Sojitz involvement. I accept if Alcoa is unable to</w:t>
      </w:r>
    </w:p>
    <w:p w14:paraId="71A65F97" w14:textId="77777777" w:rsidR="00AB2B19" w:rsidRDefault="00AB2B19">
      <w:pPr>
        <w:sectPr w:rsidR="00AB2B19">
          <w:pgSz w:w="11904" w:h="16834"/>
          <w:pgMar w:top="900" w:right="1582" w:bottom="638" w:left="1711" w:header="720" w:footer="720" w:gutter="0"/>
          <w:cols w:space="720"/>
        </w:sectPr>
      </w:pPr>
    </w:p>
    <w:p w14:paraId="32148056" w14:textId="77777777" w:rsidR="00AB2B19" w:rsidRDefault="00626CE5">
      <w:pPr>
        <w:spacing w:before="781" w:line="292" w:lineRule="exact"/>
        <w:ind w:left="648" w:right="216"/>
        <w:textAlignment w:val="baseline"/>
        <w:rPr>
          <w:rFonts w:eastAsia="Times New Roman"/>
          <w:color w:val="000000"/>
          <w:sz w:val="23"/>
        </w:rPr>
      </w:pPr>
      <w:r>
        <w:rPr>
          <w:rFonts w:eastAsia="Times New Roman"/>
          <w:color w:val="000000"/>
          <w:sz w:val="23"/>
        </w:rPr>
        <w:lastRenderedPageBreak/>
        <w:t>take the action its ability to undertake the Project may be significantly hampered. With this, there is some possibility that relations with the United States and Japanese governments may be impacted.</w:t>
      </w:r>
    </w:p>
    <w:p w14:paraId="578C3D9B" w14:textId="77777777" w:rsidR="00AB2B19" w:rsidRDefault="00626CE5">
      <w:pPr>
        <w:numPr>
          <w:ilvl w:val="0"/>
          <w:numId w:val="15"/>
        </w:numPr>
        <w:tabs>
          <w:tab w:val="clear" w:pos="504"/>
          <w:tab w:val="left" w:pos="648"/>
        </w:tabs>
        <w:spacing w:before="157" w:line="292" w:lineRule="exact"/>
        <w:ind w:left="648" w:right="216" w:hanging="504"/>
        <w:textAlignment w:val="baseline"/>
        <w:rPr>
          <w:rFonts w:eastAsia="Times New Roman"/>
          <w:color w:val="000000"/>
          <w:spacing w:val="-6"/>
          <w:sz w:val="23"/>
        </w:rPr>
      </w:pPr>
      <w:r>
        <w:rPr>
          <w:rFonts w:eastAsia="Times New Roman"/>
          <w:color w:val="000000"/>
          <w:spacing w:val="-6"/>
          <w:sz w:val="23"/>
        </w:rPr>
        <w:t>While 1 accept that the Agreement and the investment of the Japanese Government do not override the processes or requirements of the EPBC Act, I am nevertheless satisfied that it is in the national interest to provide a time-limited exemption for the action from all of the provisions of Part 3 all of Parts 7 through 9 of the EPBC Act. An exemption will promote not only the national interest in developing an independent supply of a critical mineral, but reinforcing and giving confidence to both the United States and Japanese Governments as to Australia's commitment to the Framework. Providing a time-limited exemption to Alcoa would ensure that it can sustain its operations and its financial viability while the action is subject to assessment under the EPBC Act.</w:t>
      </w:r>
    </w:p>
    <w:p w14:paraId="3A243F65" w14:textId="77777777" w:rsidR="00AB2B19" w:rsidRDefault="00626CE5">
      <w:pPr>
        <w:numPr>
          <w:ilvl w:val="0"/>
          <w:numId w:val="15"/>
        </w:numPr>
        <w:tabs>
          <w:tab w:val="clear" w:pos="504"/>
          <w:tab w:val="left" w:pos="648"/>
        </w:tabs>
        <w:spacing w:before="149" w:line="292" w:lineRule="exact"/>
        <w:ind w:left="648" w:right="216" w:hanging="504"/>
        <w:textAlignment w:val="baseline"/>
        <w:rPr>
          <w:rFonts w:eastAsia="Times New Roman"/>
          <w:color w:val="000000"/>
          <w:spacing w:val="-3"/>
          <w:sz w:val="23"/>
        </w:rPr>
      </w:pPr>
      <w:r>
        <w:rPr>
          <w:rFonts w:eastAsia="Times New Roman"/>
          <w:color w:val="000000"/>
          <w:spacing w:val="-3"/>
          <w:sz w:val="23"/>
        </w:rPr>
        <w:t xml:space="preserve">Finally, Alcoa have agreed to voluntarily compensate for any residual significant impacts associated with the action (i.e. the clearing undertaken under the exemption), in accordance with the EPBC Act Environmental Offsets Policy dated 2012. An amount of $4.2 million has been reserved already by Alcoa. The voluntary offset will compensate for significant impacts (if any) </w:t>
      </w:r>
      <w:proofErr w:type="gramStart"/>
      <w:r>
        <w:rPr>
          <w:rFonts w:eastAsia="Times New Roman"/>
          <w:color w:val="000000"/>
          <w:spacing w:val="-3"/>
          <w:sz w:val="23"/>
        </w:rPr>
        <w:t>as a result of</w:t>
      </w:r>
      <w:proofErr w:type="gramEnd"/>
      <w:r>
        <w:rPr>
          <w:rFonts w:eastAsia="Times New Roman"/>
          <w:color w:val="000000"/>
          <w:spacing w:val="-3"/>
          <w:sz w:val="23"/>
        </w:rPr>
        <w:t xml:space="preserve"> the action and gives me assurance that Alcoa is committed to maintaining a positive environmental benefit. I agree with the department that, being satisfied that it is in the national interest to grant the exemption I should exercise my discretion to grant an exemption.</w:t>
      </w:r>
    </w:p>
    <w:p w14:paraId="1BA0E899" w14:textId="77777777" w:rsidR="00AB2B19" w:rsidRDefault="00626CE5">
      <w:pPr>
        <w:numPr>
          <w:ilvl w:val="0"/>
          <w:numId w:val="15"/>
        </w:numPr>
        <w:tabs>
          <w:tab w:val="clear" w:pos="504"/>
          <w:tab w:val="left" w:pos="648"/>
        </w:tabs>
        <w:spacing w:before="150" w:line="292" w:lineRule="exact"/>
        <w:ind w:left="648" w:right="216" w:hanging="504"/>
        <w:textAlignment w:val="baseline"/>
        <w:rPr>
          <w:rFonts w:eastAsia="Times New Roman"/>
          <w:color w:val="000000"/>
          <w:spacing w:val="-3"/>
          <w:sz w:val="23"/>
        </w:rPr>
      </w:pPr>
      <w:r>
        <w:rPr>
          <w:rFonts w:eastAsia="Times New Roman"/>
          <w:color w:val="000000"/>
          <w:spacing w:val="-3"/>
          <w:sz w:val="23"/>
        </w:rPr>
        <w:t xml:space="preserve">Separately, I accept that the grant of an exemption (which is to allow continuity of operations both operationally and financially), will keep a workforce of approximately 6,000 persons employed. Based on the figures Alcoa have provided, just under 90% of those persons are employed in Western Australia. The geographical location of the employees reflects the fact that Alcoa's operations (and bauxite mining generally) are largely undertaken in Western Australia, </w:t>
      </w:r>
      <w:proofErr w:type="gramStart"/>
      <w:r>
        <w:rPr>
          <w:rFonts w:eastAsia="Times New Roman"/>
          <w:color w:val="000000"/>
          <w:spacing w:val="-3"/>
          <w:sz w:val="23"/>
        </w:rPr>
        <w:t>with the exception of</w:t>
      </w:r>
      <w:proofErr w:type="gramEnd"/>
      <w:r>
        <w:rPr>
          <w:rFonts w:eastAsia="Times New Roman"/>
          <w:color w:val="000000"/>
          <w:spacing w:val="-3"/>
          <w:sz w:val="23"/>
        </w:rPr>
        <w:t xml:space="preserve"> operation of alumina smelting in Portland, Victoria. The potential that such a significant number of persons may be immediately impacted over both WA and Victoria if an exemption is not granted highlights the importance of and national interest in maintaining operations while the assessment process under the EPBC Act is undertaken (such process estimated to be between 12-18 months in length).</w:t>
      </w:r>
    </w:p>
    <w:p w14:paraId="0708066F" w14:textId="77777777" w:rsidR="00AB2B19" w:rsidRDefault="00626CE5">
      <w:pPr>
        <w:numPr>
          <w:ilvl w:val="0"/>
          <w:numId w:val="15"/>
        </w:numPr>
        <w:tabs>
          <w:tab w:val="clear" w:pos="504"/>
          <w:tab w:val="left" w:pos="648"/>
        </w:tabs>
        <w:spacing w:before="151" w:line="292" w:lineRule="exact"/>
        <w:ind w:left="648" w:right="216" w:hanging="504"/>
        <w:textAlignment w:val="baseline"/>
        <w:rPr>
          <w:rFonts w:eastAsia="Times New Roman"/>
          <w:color w:val="000000"/>
          <w:sz w:val="23"/>
        </w:rPr>
      </w:pPr>
      <w:r>
        <w:rPr>
          <w:rFonts w:eastAsia="Times New Roman"/>
          <w:color w:val="000000"/>
          <w:sz w:val="23"/>
        </w:rPr>
        <w:t>I note that the department has advised Alcoa since 2011 that Alcoa does not have exemptions under s 43A and s 43B of the EPBC Act and therefore I do not agree with Alcoa's reasoning that the amendments that came into effect on 1 December 2025 have the effect of removing an existing exemption, nor justifies the granting of the exemption.</w:t>
      </w:r>
    </w:p>
    <w:p w14:paraId="45CD7BBD" w14:textId="4045D1B4" w:rsidR="00F2035B" w:rsidRDefault="00626CE5" w:rsidP="00F2035B">
      <w:pPr>
        <w:spacing w:before="1" w:line="289" w:lineRule="exact"/>
        <w:ind w:left="648" w:right="144"/>
        <w:textAlignment w:val="baseline"/>
        <w:rPr>
          <w:rFonts w:eastAsia="Times New Roman"/>
          <w:color w:val="000000"/>
        </w:rPr>
      </w:pPr>
      <w:r>
        <w:rPr>
          <w:rFonts w:eastAsia="Times New Roman"/>
          <w:color w:val="000000"/>
          <w:spacing w:val="-5"/>
          <w:sz w:val="23"/>
        </w:rPr>
        <w:t>As noted above, I have considered the period for which the exemption should be given. Alcoa has requested an exemption for 18 months though it has also said 24 months would provide the best opportunity to sustain operations. The department considers, and I agree, that an 18-month exemption would align with Alcoa undertaking a strategic assessment under Part 10 of the Act and me, or a delegate, considering and</w:t>
      </w:r>
      <w:r w:rsidR="00F2035B">
        <w:rPr>
          <w:rFonts w:eastAsia="Times New Roman"/>
          <w:color w:val="000000"/>
          <w:spacing w:val="-5"/>
          <w:sz w:val="23"/>
        </w:rPr>
        <w:t xml:space="preserve"> </w:t>
      </w:r>
      <w:proofErr w:type="gramStart"/>
      <w:r w:rsidR="00F2035B">
        <w:rPr>
          <w:rFonts w:eastAsia="Times New Roman"/>
          <w:color w:val="000000"/>
        </w:rPr>
        <w:t>making a decision</w:t>
      </w:r>
      <w:proofErr w:type="gramEnd"/>
      <w:r w:rsidR="00F2035B">
        <w:rPr>
          <w:rFonts w:eastAsia="Times New Roman"/>
          <w:color w:val="000000"/>
        </w:rPr>
        <w:t xml:space="preserve"> as to whether approve the taking of the proposed action the subject of the strategic assessment process. </w:t>
      </w:r>
      <w:r w:rsidR="00F2035B">
        <w:rPr>
          <w:rFonts w:eastAsia="Times New Roman"/>
          <w:b/>
          <w:color w:val="000000"/>
        </w:rPr>
        <w:t xml:space="preserve">I </w:t>
      </w:r>
      <w:r w:rsidR="00F2035B">
        <w:rPr>
          <w:rFonts w:eastAsia="Times New Roman"/>
          <w:color w:val="000000"/>
        </w:rPr>
        <w:t>am satisfied that an exemption for 18 months from the date of my decision to be reasonable and appropriate.</w:t>
      </w:r>
    </w:p>
    <w:p w14:paraId="5EA47972" w14:textId="77777777" w:rsidR="00F2035B" w:rsidRDefault="00F2035B" w:rsidP="00F2035B">
      <w:pPr>
        <w:spacing w:before="1" w:line="289" w:lineRule="exact"/>
        <w:ind w:left="648" w:right="144"/>
        <w:textAlignment w:val="baseline"/>
        <w:rPr>
          <w:rFonts w:eastAsia="Times New Roman"/>
          <w:color w:val="000000"/>
        </w:rPr>
      </w:pPr>
    </w:p>
    <w:p w14:paraId="6633BF27" w14:textId="77777777" w:rsidR="00F2035B" w:rsidRDefault="00F2035B" w:rsidP="00F2035B">
      <w:pPr>
        <w:spacing w:before="1" w:line="289" w:lineRule="exact"/>
        <w:ind w:left="648" w:right="144"/>
        <w:textAlignment w:val="baseline"/>
        <w:rPr>
          <w:rFonts w:eastAsia="Times New Roman"/>
          <w:color w:val="000000"/>
        </w:rPr>
      </w:pPr>
    </w:p>
    <w:p w14:paraId="144FF65C" w14:textId="77777777" w:rsidR="00F2035B" w:rsidRDefault="00F2035B" w:rsidP="00F2035B">
      <w:pPr>
        <w:spacing w:before="1" w:line="289" w:lineRule="exact"/>
        <w:ind w:left="648" w:right="144"/>
        <w:textAlignment w:val="baseline"/>
        <w:rPr>
          <w:rFonts w:eastAsia="Times New Roman"/>
          <w:color w:val="000000"/>
        </w:rPr>
      </w:pPr>
    </w:p>
    <w:p w14:paraId="66D34447" w14:textId="77777777" w:rsidR="00F2035B" w:rsidRDefault="00F2035B" w:rsidP="00F2035B">
      <w:pPr>
        <w:spacing w:before="1" w:line="289" w:lineRule="exact"/>
        <w:ind w:left="648" w:right="144"/>
        <w:textAlignment w:val="baseline"/>
        <w:rPr>
          <w:rFonts w:eastAsia="Times New Roman"/>
          <w:color w:val="000000"/>
        </w:rPr>
      </w:pPr>
    </w:p>
    <w:p w14:paraId="633B43E6" w14:textId="77777777" w:rsidR="00F2035B" w:rsidRDefault="00F2035B" w:rsidP="00F2035B">
      <w:pPr>
        <w:spacing w:before="1" w:line="289" w:lineRule="exact"/>
        <w:ind w:left="648" w:right="144"/>
        <w:textAlignment w:val="baseline"/>
        <w:rPr>
          <w:rFonts w:eastAsia="Times New Roman"/>
          <w:color w:val="000000"/>
        </w:rPr>
      </w:pPr>
    </w:p>
    <w:p w14:paraId="28A7387C" w14:textId="77777777" w:rsidR="00F2035B" w:rsidRDefault="00F2035B" w:rsidP="00F2035B">
      <w:pPr>
        <w:spacing w:before="1" w:line="289" w:lineRule="exact"/>
        <w:ind w:left="648" w:right="144"/>
        <w:textAlignment w:val="baseline"/>
        <w:rPr>
          <w:rFonts w:eastAsia="Times New Roman"/>
          <w:color w:val="000000"/>
        </w:rPr>
      </w:pPr>
    </w:p>
    <w:p w14:paraId="4637D3A8" w14:textId="77777777" w:rsidR="00F2035B" w:rsidRDefault="00F2035B" w:rsidP="00F2035B">
      <w:pPr>
        <w:spacing w:before="1" w:line="289" w:lineRule="exact"/>
        <w:ind w:left="648" w:right="144"/>
        <w:textAlignment w:val="baseline"/>
        <w:rPr>
          <w:rFonts w:eastAsia="Times New Roman"/>
          <w:color w:val="000000"/>
        </w:rPr>
      </w:pPr>
    </w:p>
    <w:p w14:paraId="61CBDDB3" w14:textId="77777777" w:rsidR="00F2035B" w:rsidRDefault="00F2035B" w:rsidP="00F2035B">
      <w:pPr>
        <w:spacing w:before="1" w:line="289" w:lineRule="exact"/>
        <w:ind w:left="648" w:right="144"/>
        <w:textAlignment w:val="baseline"/>
        <w:rPr>
          <w:rFonts w:eastAsia="Times New Roman"/>
          <w:color w:val="000000"/>
        </w:rPr>
      </w:pPr>
    </w:p>
    <w:p w14:paraId="0E136C63" w14:textId="77777777" w:rsidR="00F2035B" w:rsidRDefault="00F2035B" w:rsidP="00F2035B">
      <w:pPr>
        <w:spacing w:before="1" w:line="289" w:lineRule="exact"/>
        <w:ind w:left="648" w:right="144"/>
        <w:textAlignment w:val="baseline"/>
        <w:rPr>
          <w:rFonts w:eastAsia="Times New Roman"/>
          <w:color w:val="000000"/>
        </w:rPr>
      </w:pPr>
    </w:p>
    <w:p w14:paraId="044D7C42" w14:textId="77777777" w:rsidR="00F2035B" w:rsidRDefault="00F2035B" w:rsidP="00F2035B">
      <w:pPr>
        <w:spacing w:before="1" w:line="289" w:lineRule="exact"/>
        <w:ind w:left="648" w:right="144"/>
        <w:textAlignment w:val="baseline"/>
        <w:rPr>
          <w:rFonts w:eastAsia="Times New Roman"/>
          <w:color w:val="000000"/>
        </w:rPr>
      </w:pPr>
    </w:p>
    <w:p w14:paraId="67056077" w14:textId="77777777" w:rsidR="00F2035B" w:rsidRDefault="00F2035B" w:rsidP="00F2035B">
      <w:pPr>
        <w:spacing w:before="1" w:line="289" w:lineRule="exact"/>
        <w:ind w:left="648" w:right="144"/>
        <w:textAlignment w:val="baseline"/>
        <w:rPr>
          <w:rFonts w:eastAsia="Times New Roman"/>
          <w:color w:val="000000"/>
        </w:rPr>
      </w:pPr>
    </w:p>
    <w:p w14:paraId="2C552455" w14:textId="77777777" w:rsidR="00F2035B" w:rsidRDefault="00F2035B" w:rsidP="00F2035B">
      <w:pPr>
        <w:pStyle w:val="Heading1"/>
      </w:pPr>
      <w:r>
        <w:t>Decision</w:t>
      </w:r>
    </w:p>
    <w:p w14:paraId="595FA4CC" w14:textId="77777777" w:rsidR="00F2035B" w:rsidRDefault="00F2035B" w:rsidP="00F2035B">
      <w:pPr>
        <w:tabs>
          <w:tab w:val="left" w:pos="648"/>
        </w:tabs>
        <w:spacing w:before="172" w:after="46" w:line="289" w:lineRule="exact"/>
        <w:ind w:left="648" w:right="432" w:hanging="504"/>
        <w:textAlignment w:val="baseline"/>
        <w:rPr>
          <w:rFonts w:eastAsia="Times New Roman"/>
          <w:color w:val="000000"/>
        </w:rPr>
      </w:pPr>
      <w:r>
        <w:rPr>
          <w:rFonts w:eastAsia="Times New Roman"/>
          <w:color w:val="000000"/>
        </w:rPr>
        <w:t>43.</w:t>
      </w:r>
      <w:r>
        <w:rPr>
          <w:rFonts w:eastAsia="Times New Roman"/>
          <w:color w:val="000000"/>
        </w:rPr>
        <w:tab/>
        <w:t xml:space="preserve">For the reasons given above, I have decided to grant a national interest exemption to Alcoa under s </w:t>
      </w:r>
      <w:r>
        <w:rPr>
          <w:rFonts w:eastAsia="Times New Roman"/>
          <w:b/>
          <w:color w:val="000000"/>
        </w:rPr>
        <w:t xml:space="preserve">158(3) </w:t>
      </w:r>
      <w:r>
        <w:rPr>
          <w:rFonts w:eastAsia="Times New Roman"/>
          <w:color w:val="000000"/>
        </w:rPr>
        <w:t xml:space="preserve">of the EPBC Act, and the exemption is to be in effect for </w:t>
      </w:r>
      <w:proofErr w:type="gramStart"/>
      <w:r>
        <w:rPr>
          <w:rFonts w:eastAsia="Times New Roman"/>
          <w:b/>
          <w:color w:val="000000"/>
        </w:rPr>
        <w:t>18</w:t>
      </w:r>
      <w:r>
        <w:rPr>
          <w:rFonts w:eastAsia="Times New Roman"/>
          <w:b/>
          <w:color w:val="636363"/>
        </w:rPr>
        <w:t>-</w:t>
      </w:r>
      <w:r>
        <w:rPr>
          <w:rFonts w:eastAsia="Times New Roman"/>
          <w:color w:val="000000"/>
        </w:rPr>
        <w:t>months</w:t>
      </w:r>
      <w:proofErr w:type="gramEnd"/>
      <w:r>
        <w:rPr>
          <w:rFonts w:eastAsia="Times New Roman"/>
          <w:color w:val="000000"/>
        </w:rPr>
        <w:t xml:space="preserve"> following the date of my decision. The terms of the exemption are as in the notice </w:t>
      </w:r>
      <w:r>
        <w:rPr>
          <w:rFonts w:eastAsia="Times New Roman"/>
          <w:b/>
          <w:color w:val="000000"/>
        </w:rPr>
        <w:t xml:space="preserve">I </w:t>
      </w:r>
      <w:r>
        <w:rPr>
          <w:rFonts w:eastAsia="Times New Roman"/>
          <w:color w:val="000000"/>
        </w:rPr>
        <w:t>signed on [date].</w:t>
      </w:r>
    </w:p>
    <w:p w14:paraId="0691D23F" w14:textId="77777777" w:rsidR="00F2035B" w:rsidRDefault="00F2035B" w:rsidP="00F2035B">
      <w:pPr>
        <w:textAlignment w:val="baseline"/>
        <w:rPr>
          <w:rFonts w:eastAsia="Times New Roman"/>
          <w:sz w:val="24"/>
        </w:rPr>
      </w:pPr>
    </w:p>
    <w:p w14:paraId="599D5FE9" w14:textId="77777777" w:rsidR="00F2035B" w:rsidRDefault="00F2035B" w:rsidP="00F2035B">
      <w:pPr>
        <w:textAlignment w:val="baseline"/>
        <w:rPr>
          <w:rFonts w:eastAsia="Times New Roman"/>
          <w:sz w:val="24"/>
        </w:rPr>
      </w:pPr>
    </w:p>
    <w:p w14:paraId="0181A7F6" w14:textId="77777777" w:rsidR="00F2035B" w:rsidRDefault="00F2035B" w:rsidP="00F2035B">
      <w:pPr>
        <w:textAlignment w:val="baseline"/>
        <w:rPr>
          <w:rFonts w:eastAsia="Times New Roman"/>
          <w:sz w:val="24"/>
        </w:rPr>
      </w:pPr>
    </w:p>
    <w:p w14:paraId="3C307E7F" w14:textId="77777777" w:rsidR="00F2035B" w:rsidRDefault="00F2035B" w:rsidP="00F2035B">
      <w:pPr>
        <w:textAlignment w:val="baseline"/>
        <w:rPr>
          <w:rFonts w:eastAsia="Times New Roman"/>
          <w:sz w:val="24"/>
        </w:rPr>
      </w:pPr>
    </w:p>
    <w:p w14:paraId="2B71B1CB" w14:textId="77777777" w:rsidR="00F2035B" w:rsidRDefault="00F2035B" w:rsidP="00F2035B">
      <w:pPr>
        <w:spacing w:after="139" w:line="239" w:lineRule="exact"/>
        <w:ind w:left="144"/>
        <w:textAlignment w:val="baseline"/>
        <w:rPr>
          <w:rFonts w:eastAsia="Times New Roman"/>
          <w:b/>
          <w:color w:val="000000"/>
        </w:rPr>
      </w:pPr>
      <w:r>
        <w:rPr>
          <w:rFonts w:eastAsia="Times New Roman"/>
          <w:b/>
          <w:color w:val="000000"/>
        </w:rPr>
        <w:t>Minister for the Environment and Water</w:t>
      </w:r>
      <w:r>
        <w:rPr>
          <w:rFonts w:eastAsia="Times New Roman"/>
          <w:b/>
          <w:color w:val="000000"/>
        </w:rPr>
        <w:br/>
        <w:t>[Date]</w:t>
      </w:r>
    </w:p>
    <w:p w14:paraId="3F332C11" w14:textId="5F77AF01" w:rsidR="00F2035B" w:rsidRDefault="00F2035B">
      <w:pPr>
        <w:rPr>
          <w:rFonts w:eastAsia="Times New Roman"/>
          <w:b/>
          <w:color w:val="000000"/>
        </w:rPr>
      </w:pPr>
      <w:r>
        <w:rPr>
          <w:rFonts w:eastAsia="Times New Roman"/>
          <w:b/>
          <w:color w:val="000000"/>
        </w:rPr>
        <w:br w:type="page"/>
      </w:r>
    </w:p>
    <w:p w14:paraId="0D81AA35" w14:textId="77777777" w:rsidR="00F2035B" w:rsidRDefault="00F2035B" w:rsidP="00F2035B">
      <w:pPr>
        <w:spacing w:after="139" w:line="239" w:lineRule="exact"/>
        <w:ind w:left="144"/>
        <w:textAlignment w:val="baseline"/>
        <w:rPr>
          <w:rFonts w:eastAsia="Times New Roman"/>
          <w:b/>
          <w:color w:val="000000"/>
        </w:rPr>
      </w:pPr>
    </w:p>
    <w:p w14:paraId="5054C789" w14:textId="3B0630E1" w:rsidR="00F2035B" w:rsidRDefault="00F2035B" w:rsidP="00F2035B">
      <w:pPr>
        <w:spacing w:after="6751" w:line="288" w:lineRule="exact"/>
        <w:jc w:val="both"/>
        <w:textAlignment w:val="baseline"/>
        <w:rPr>
          <w:rFonts w:eastAsia="Times New Roman"/>
          <w:b/>
          <w:color w:val="000000"/>
          <w:u w:val="single"/>
        </w:rPr>
      </w:pPr>
      <w:r>
        <w:rPr>
          <w:noProof/>
        </w:rPr>
        <w:drawing>
          <wp:anchor distT="0" distB="0" distL="114300" distR="114300" simplePos="0" relativeHeight="251658240" behindDoc="1" locked="0" layoutInCell="1" allowOverlap="1" wp14:anchorId="3DE0A93A" wp14:editId="778DF07E">
            <wp:simplePos x="0" y="0"/>
            <wp:positionH relativeFrom="page">
              <wp:align>center</wp:align>
            </wp:positionH>
            <wp:positionV relativeFrom="paragraph">
              <wp:posOffset>483870</wp:posOffset>
            </wp:positionV>
            <wp:extent cx="4961890" cy="7064375"/>
            <wp:effectExtent l="0" t="0" r="0" b="3175"/>
            <wp:wrapTopAndBottom/>
            <wp:docPr id="1681284971" name="Picture 1" descr="A map showing Alcoa’s historic clearing areas, existing EPBC referral areas, proposed strategic assessment boundary and requested areas for exemption within ML1SA. Blue shading marks historical Huntly clearing from 2019 to 2025. Pale purple shading indicates conceptual clearing areas under a requested this exemption. Pink hatching shows the EPBC 2022/09204 existing referral area. A green outline marks the proposed Strategic Assessment Area boundary, and a black outline marks the ML1SA boundary. The map includes roads, waterways, and the coastline on the left, with a legend explaining all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284971" name="Picture 1" descr="A map showing Alcoa’s historic clearing areas, existing EPBC referral areas, proposed strategic assessment boundary and requested areas for exemption within ML1SA. Blue shading marks historical Huntly clearing from 2019 to 2025. Pale purple shading indicates conceptual clearing areas under a requested this exemption. Pink hatching shows the EPBC 2022/09204 existing referral area. A green outline marks the proposed Strategic Assessment Area boundary, and a black outline marks the ML1SA boundary. The map includes roads, waterways, and the coastline on the left, with a legend explaining all symbol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61890" cy="7064375"/>
                    </a:xfrm>
                    <a:prstGeom prst="rect">
                      <a:avLst/>
                    </a:prstGeom>
                    <a:noFill/>
                    <a:ln>
                      <a:noFill/>
                    </a:ln>
                  </pic:spPr>
                </pic:pic>
              </a:graphicData>
            </a:graphic>
          </wp:anchor>
        </w:drawing>
      </w:r>
      <w:r w:rsidRPr="00F2035B">
        <w:rPr>
          <w:rStyle w:val="Heading1Char"/>
          <w:rFonts w:eastAsia="PMingLiU"/>
        </w:rPr>
        <w:t>Attachment A:</w:t>
      </w:r>
      <w:r>
        <w:rPr>
          <w:rFonts w:eastAsia="Times New Roman"/>
          <w:color w:val="000000"/>
        </w:rPr>
        <w:t xml:space="preserve"> The location of </w:t>
      </w:r>
      <w:r>
        <w:rPr>
          <w:rFonts w:eastAsia="Times New Roman"/>
          <w:b/>
          <w:color w:val="000000"/>
        </w:rPr>
        <w:t xml:space="preserve">Alcoa's </w:t>
      </w:r>
      <w:r>
        <w:rPr>
          <w:rFonts w:eastAsia="Times New Roman"/>
          <w:color w:val="000000"/>
        </w:rPr>
        <w:t xml:space="preserve">mineral lease </w:t>
      </w:r>
      <w:r>
        <w:rPr>
          <w:rFonts w:eastAsia="Times New Roman"/>
          <w:b/>
          <w:color w:val="000000"/>
        </w:rPr>
        <w:t xml:space="preserve">ML1SA </w:t>
      </w:r>
      <w:r>
        <w:rPr>
          <w:rFonts w:eastAsia="Times New Roman"/>
          <w:color w:val="000000"/>
        </w:rPr>
        <w:t>and geographic limit of clearing associated with the exemption.</w:t>
      </w:r>
    </w:p>
    <w:p w14:paraId="55DAAFFB" w14:textId="78BB0D9D" w:rsidR="008F518B" w:rsidRPr="008F518B" w:rsidRDefault="008F518B" w:rsidP="008F518B">
      <w:pPr>
        <w:rPr>
          <w:rFonts w:eastAsia="Times New Roman"/>
          <w:sz w:val="24"/>
        </w:rPr>
      </w:pPr>
    </w:p>
    <w:sectPr w:rsidR="008F518B" w:rsidRPr="008F518B">
      <w:pgSz w:w="11904" w:h="16834"/>
      <w:pgMar w:top="540" w:right="909" w:bottom="459" w:left="1635"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AB2BCB" w14:textId="77777777" w:rsidR="00DD0554" w:rsidRDefault="00DD0554">
      <w:r>
        <w:separator/>
      </w:r>
    </w:p>
  </w:endnote>
  <w:endnote w:type="continuationSeparator" w:id="0">
    <w:p w14:paraId="55E4B236" w14:textId="77777777" w:rsidR="00DD0554" w:rsidRDefault="00DD05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Arial">
    <w:charset w:val="00"/>
    <w:pitch w:val="variable"/>
    <w:family w:val="swiss"/>
    <w:panose1 w:val="02020603050405020304"/>
  </w:font>
  <w:font w:name="Bookman Old Style">
    <w:charset w:val="00"/>
    <w:pitch w:val="variable"/>
    <w:family w:val="roman"/>
    <w:panose1 w:val="02020603050405020304"/>
  </w:font>
  <w:font w:name="Tahoma">
    <w:charset w:val="00"/>
    <w:pitch w:val="variable"/>
    <w:family w:val="swiss"/>
    <w:panose1 w:val="02020603050405020304"/>
  </w:font>
  <w:font w:name="Times New Roman">
    <w:charset w:val="00"/>
    <w:pitch w:val="variable"/>
    <w:family w:val="roman"/>
    <w:panose1 w:val="02020603050405020304"/>
  </w:font>
  <w:font w:name="Verdana">
    <w:charset w:val="00"/>
    <w:pitch w:val="variable"/>
    <w:family w:val="swiss"/>
    <w:panose1 w:val="020206030504050203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4B2AE" w14:textId="190028D4" w:rsidR="008F518B" w:rsidRDefault="008F518B">
    <w:pPr>
      <w:pStyle w:val="Footer"/>
    </w:pPr>
    <w:r>
      <w:rPr>
        <w:noProof/>
      </w:rPr>
      <mc:AlternateContent>
        <mc:Choice Requires="wps">
          <w:drawing>
            <wp:anchor distT="0" distB="0" distL="0" distR="0" simplePos="0" relativeHeight="251658243" behindDoc="0" locked="0" layoutInCell="1" allowOverlap="1" wp14:anchorId="362B1AA4" wp14:editId="338E6FBC">
              <wp:simplePos x="635" y="635"/>
              <wp:positionH relativeFrom="page">
                <wp:align>center</wp:align>
              </wp:positionH>
              <wp:positionV relativeFrom="page">
                <wp:align>bottom</wp:align>
              </wp:positionV>
              <wp:extent cx="622300" cy="376555"/>
              <wp:effectExtent l="0" t="0" r="6350" b="0"/>
              <wp:wrapNone/>
              <wp:docPr id="1259831340"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4C4A04D3" w14:textId="4EA80358" w:rsidR="008F518B" w:rsidRPr="008F518B" w:rsidRDefault="008F518B" w:rsidP="008F518B">
                          <w:pPr>
                            <w:rPr>
                              <w:rFonts w:ascii="Aptos" w:eastAsia="Aptos" w:hAnsi="Aptos" w:cs="Aptos"/>
                              <w:noProof/>
                              <w:color w:val="FF0000"/>
                              <w:sz w:val="24"/>
                              <w:szCs w:val="24"/>
                            </w:rPr>
                          </w:pPr>
                          <w:r w:rsidRPr="008F518B">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2B1AA4" id="_x0000_t202" coordsize="21600,21600" o:spt="202" path="m,l,21600r21600,l21600,xe">
              <v:stroke joinstyle="miter"/>
              <v:path gradientshapeok="t" o:connecttype="rect"/>
            </v:shapetype>
            <v:shape id="Text Box 5" o:spid="_x0000_s1027" type="#_x0000_t202" alt="OFFICIAL" style="position:absolute;margin-left:0;margin-top:0;width:49pt;height:29.6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" filled="f" stroked="f">
              <v:textbox style="mso-fit-shape-to-text:t" inset="0,0,0,15pt">
                <w:txbxContent>
                  <w:p w14:paraId="4C4A04D3" w14:textId="4EA80358" w:rsidR="008F518B" w:rsidRPr="008F518B" w:rsidRDefault="008F518B" w:rsidP="008F518B">
                    <w:pPr>
                      <w:rPr>
                        <w:rFonts w:ascii="Aptos" w:eastAsia="Aptos" w:hAnsi="Aptos" w:cs="Aptos"/>
                        <w:noProof/>
                        <w:color w:val="FF0000"/>
                        <w:sz w:val="24"/>
                        <w:szCs w:val="24"/>
                      </w:rPr>
                    </w:pPr>
                    <w:r w:rsidRPr="008F518B">
                      <w:rPr>
                        <w:rFonts w:ascii="Aptos" w:eastAsia="Aptos" w:hAnsi="Aptos" w:cs="Aptos"/>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2F06D" w14:textId="3DA2CEE5" w:rsidR="008F518B" w:rsidRDefault="008F518B">
    <w:pPr>
      <w:pStyle w:val="Footer"/>
    </w:pPr>
    <w:r>
      <w:rPr>
        <w:noProof/>
      </w:rPr>
      <mc:AlternateContent>
        <mc:Choice Requires="wps">
          <w:drawing>
            <wp:anchor distT="0" distB="0" distL="0" distR="0" simplePos="0" relativeHeight="251658242" behindDoc="0" locked="0" layoutInCell="1" allowOverlap="1" wp14:anchorId="29E7ED07" wp14:editId="330D3AA2">
              <wp:simplePos x="635" y="635"/>
              <wp:positionH relativeFrom="page">
                <wp:align>center</wp:align>
              </wp:positionH>
              <wp:positionV relativeFrom="page">
                <wp:align>bottom</wp:align>
              </wp:positionV>
              <wp:extent cx="622300" cy="376555"/>
              <wp:effectExtent l="0" t="0" r="6350" b="0"/>
              <wp:wrapNone/>
              <wp:docPr id="1969299803"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3183DA9E" w14:textId="2A66BEC9" w:rsidR="008F518B" w:rsidRPr="008F518B" w:rsidRDefault="008F518B" w:rsidP="008F518B">
                          <w:pPr>
                            <w:rPr>
                              <w:rFonts w:ascii="Aptos" w:eastAsia="Aptos" w:hAnsi="Aptos" w:cs="Aptos"/>
                              <w:noProof/>
                              <w:color w:val="FF0000"/>
                              <w:sz w:val="24"/>
                              <w:szCs w:val="24"/>
                            </w:rPr>
                          </w:pPr>
                          <w:r w:rsidRPr="008F518B">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E7ED07" id="_x0000_t202" coordsize="21600,21600" o:spt="202" path="m,l,21600r21600,l21600,xe">
              <v:stroke joinstyle="miter"/>
              <v:path gradientshapeok="t" o:connecttype="rect"/>
            </v:shapetype>
            <v:shape id="Text Box 4" o:spid="_x0000_s1029" type="#_x0000_t202" alt="OFFICIAL" style="position:absolute;margin-left:0;margin-top:0;width:49pt;height:29.6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wxhrUg0CAAAcBAAA&#10;DgAAAAAAAAAAAAAAAAAuAgAAZHJzL2Uyb0RvYy54bWxQSwECLQAUAAYACAAAACEAaYjbD9kAAAAD&#10;AQAADwAAAAAAAAAAAAAAAABnBAAAZHJzL2Rvd25yZXYueG1sUEsFBgAAAAAEAAQA8wAAAG0FAAAA&#10;AA==&#10;" filled="f" stroked="f">
              <v:textbox style="mso-fit-shape-to-text:t" inset="0,0,0,15pt">
                <w:txbxContent>
                  <w:p w14:paraId="3183DA9E" w14:textId="2A66BEC9" w:rsidR="008F518B" w:rsidRPr="008F518B" w:rsidRDefault="008F518B" w:rsidP="008F518B">
                    <w:pPr>
                      <w:rPr>
                        <w:rFonts w:ascii="Aptos" w:eastAsia="Aptos" w:hAnsi="Aptos" w:cs="Aptos"/>
                        <w:noProof/>
                        <w:color w:val="FF0000"/>
                        <w:sz w:val="24"/>
                        <w:szCs w:val="24"/>
                      </w:rPr>
                    </w:pPr>
                    <w:r w:rsidRPr="008F518B">
                      <w:rPr>
                        <w:rFonts w:ascii="Aptos" w:eastAsia="Aptos" w:hAnsi="Aptos" w:cs="Aptos"/>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769A90" w14:textId="77777777" w:rsidR="00DD0554" w:rsidRDefault="00DD0554"/>
  </w:footnote>
  <w:footnote w:type="continuationSeparator" w:id="0">
    <w:p w14:paraId="2A978DEC" w14:textId="77777777" w:rsidR="00DD0554" w:rsidRDefault="00DD05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4B84D" w14:textId="3E712F1B" w:rsidR="008F518B" w:rsidRDefault="008F518B">
    <w:pPr>
      <w:pStyle w:val="Header"/>
    </w:pPr>
    <w:r>
      <w:rPr>
        <w:noProof/>
      </w:rPr>
      <mc:AlternateContent>
        <mc:Choice Requires="wps">
          <w:drawing>
            <wp:anchor distT="0" distB="0" distL="0" distR="0" simplePos="0" relativeHeight="251658241" behindDoc="0" locked="0" layoutInCell="1" allowOverlap="1" wp14:anchorId="1728F534" wp14:editId="4A331D8C">
              <wp:simplePos x="635" y="635"/>
              <wp:positionH relativeFrom="page">
                <wp:align>center</wp:align>
              </wp:positionH>
              <wp:positionV relativeFrom="page">
                <wp:align>top</wp:align>
              </wp:positionV>
              <wp:extent cx="622300" cy="376555"/>
              <wp:effectExtent l="0" t="0" r="6350" b="4445"/>
              <wp:wrapNone/>
              <wp:docPr id="55758706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6D575D83" w14:textId="4BAB653F" w:rsidR="008F518B" w:rsidRPr="008F518B" w:rsidRDefault="008F518B" w:rsidP="008F518B">
                          <w:pPr>
                            <w:rPr>
                              <w:rFonts w:ascii="Aptos" w:eastAsia="Aptos" w:hAnsi="Aptos" w:cs="Aptos"/>
                              <w:noProof/>
                              <w:color w:val="FF0000"/>
                              <w:sz w:val="24"/>
                              <w:szCs w:val="24"/>
                            </w:rPr>
                          </w:pPr>
                          <w:r w:rsidRPr="008F518B">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728F534" id="_x0000_t202" coordsize="21600,21600" o:spt="202" path="m,l,21600r21600,l21600,xe">
              <v:stroke joinstyle="miter"/>
              <v:path gradientshapeok="t" o:connecttype="rect"/>
            </v:shapetype>
            <v:shape id="Text Box 2" o:spid="_x0000_s1026" type="#_x0000_t202" alt="OFFICIAL" style="position:absolute;margin-left:0;margin-top:0;width:49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" filled="f" stroked="f">
              <v:textbox style="mso-fit-shape-to-text:t" inset="0,15pt,0,0">
                <w:txbxContent>
                  <w:p w14:paraId="6D575D83" w14:textId="4BAB653F" w:rsidR="008F518B" w:rsidRPr="008F518B" w:rsidRDefault="008F518B" w:rsidP="008F518B">
                    <w:pPr>
                      <w:rPr>
                        <w:rFonts w:ascii="Aptos" w:eastAsia="Aptos" w:hAnsi="Aptos" w:cs="Aptos"/>
                        <w:noProof/>
                        <w:color w:val="FF0000"/>
                        <w:sz w:val="24"/>
                        <w:szCs w:val="24"/>
                      </w:rPr>
                    </w:pPr>
                    <w:r w:rsidRPr="008F518B">
                      <w:rPr>
                        <w:rFonts w:ascii="Aptos" w:eastAsia="Aptos" w:hAnsi="Aptos" w:cs="Aptos"/>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21BFE" w14:textId="3B7C0E1D" w:rsidR="008F518B" w:rsidRDefault="008F518B">
    <w:pPr>
      <w:pStyle w:val="Header"/>
    </w:pPr>
    <w:r>
      <w:rPr>
        <w:noProof/>
      </w:rPr>
      <mc:AlternateContent>
        <mc:Choice Requires="wps">
          <w:drawing>
            <wp:anchor distT="0" distB="0" distL="0" distR="0" simplePos="0" relativeHeight="251658240" behindDoc="0" locked="0" layoutInCell="1" allowOverlap="1" wp14:anchorId="213644C8" wp14:editId="10F84D3B">
              <wp:simplePos x="635" y="635"/>
              <wp:positionH relativeFrom="page">
                <wp:align>center</wp:align>
              </wp:positionH>
              <wp:positionV relativeFrom="page">
                <wp:align>top</wp:align>
              </wp:positionV>
              <wp:extent cx="622300" cy="376555"/>
              <wp:effectExtent l="0" t="0" r="6350" b="4445"/>
              <wp:wrapNone/>
              <wp:docPr id="30004253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6D989BBD" w14:textId="129BA35D" w:rsidR="008F518B" w:rsidRPr="008F518B" w:rsidRDefault="008F518B" w:rsidP="008F518B">
                          <w:pPr>
                            <w:rPr>
                              <w:rFonts w:ascii="Aptos" w:eastAsia="Aptos" w:hAnsi="Aptos" w:cs="Aptos"/>
                              <w:noProof/>
                              <w:color w:val="FF0000"/>
                              <w:sz w:val="24"/>
                              <w:szCs w:val="24"/>
                            </w:rPr>
                          </w:pPr>
                          <w:r w:rsidRPr="008F518B">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13644C8" id="_x0000_t202" coordsize="21600,21600" o:spt="202" path="m,l,21600r21600,l21600,xe">
              <v:stroke joinstyle="miter"/>
              <v:path gradientshapeok="t" o:connecttype="rect"/>
            </v:shapetype>
            <v:shape id="Text Box 1" o:spid="_x0000_s1028" type="#_x0000_t202" alt="OFFICIAL" style="position:absolute;margin-left:0;margin-top:0;width:49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" filled="f" stroked="f">
              <v:textbox style="mso-fit-shape-to-text:t" inset="0,15pt,0,0">
                <w:txbxContent>
                  <w:p w14:paraId="6D989BBD" w14:textId="129BA35D" w:rsidR="008F518B" w:rsidRPr="008F518B" w:rsidRDefault="008F518B" w:rsidP="008F518B">
                    <w:pPr>
                      <w:rPr>
                        <w:rFonts w:ascii="Aptos" w:eastAsia="Aptos" w:hAnsi="Aptos" w:cs="Aptos"/>
                        <w:noProof/>
                        <w:color w:val="FF0000"/>
                        <w:sz w:val="24"/>
                        <w:szCs w:val="24"/>
                      </w:rPr>
                    </w:pPr>
                    <w:r w:rsidRPr="008F518B">
                      <w:rPr>
                        <w:rFonts w:ascii="Aptos" w:eastAsia="Aptos" w:hAnsi="Aptos" w:cs="Aptos"/>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4F268A"/>
    <w:multiLevelType w:val="multilevel"/>
    <w:tmpl w:val="7884BEE4"/>
    <w:lvl w:ilvl="0">
      <w:start w:val="1"/>
      <w:numFmt w:val="lowerLetter"/>
      <w:lvlText w:val="%1."/>
      <w:lvlJc w:val="left"/>
      <w:pPr>
        <w:tabs>
          <w:tab w:val="left" w:pos="576"/>
        </w:tabs>
      </w:pPr>
      <w:rPr>
        <w:rFonts w:ascii="Times New Roman" w:eastAsia="Times New Roman" w:hAnsi="Times New Roman"/>
        <w:color w:val="1B1B1B"/>
        <w:spacing w:val="-6"/>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464028A"/>
    <w:multiLevelType w:val="multilevel"/>
    <w:tmpl w:val="169A8764"/>
    <w:lvl w:ilvl="0">
      <w:start w:val="25"/>
      <w:numFmt w:val="decimal"/>
      <w:lvlText w:val="%1."/>
      <w:lvlJc w:val="left"/>
      <w:pPr>
        <w:tabs>
          <w:tab w:val="left" w:pos="504"/>
        </w:tabs>
      </w:pPr>
      <w:rPr>
        <w:rFonts w:ascii="Times New Roman" w:eastAsia="Times New Roman" w:hAnsi="Times New Roman"/>
        <w:color w:val="1B1B1B"/>
        <w:spacing w:val="-4"/>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99D41E0"/>
    <w:multiLevelType w:val="multilevel"/>
    <w:tmpl w:val="06B21534"/>
    <w:lvl w:ilvl="0">
      <w:numFmt w:val="bullet"/>
      <w:lvlText w:val="·"/>
      <w:lvlJc w:val="left"/>
      <w:pPr>
        <w:tabs>
          <w:tab w:val="left" w:pos="288"/>
        </w:tabs>
      </w:pPr>
      <w:rPr>
        <w:rFonts w:ascii="Symbol" w:eastAsia="Symbol" w:hAnsi="Symbol"/>
        <w:i/>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15A32B3"/>
    <w:multiLevelType w:val="multilevel"/>
    <w:tmpl w:val="938CEA08"/>
    <w:lvl w:ilvl="0">
      <w:start w:val="1"/>
      <w:numFmt w:val="lowerLetter"/>
      <w:lvlText w:val="%1."/>
      <w:lvlJc w:val="left"/>
      <w:pPr>
        <w:tabs>
          <w:tab w:val="left" w:pos="576"/>
        </w:tabs>
      </w:pPr>
      <w:rPr>
        <w:rFonts w:ascii="Times New Roman" w:eastAsia="Times New Roman" w:hAnsi="Times New Roman"/>
        <w:color w:val="000000"/>
        <w:spacing w:val="-2"/>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47B47C8"/>
    <w:multiLevelType w:val="multilevel"/>
    <w:tmpl w:val="2274338C"/>
    <w:lvl w:ilvl="0">
      <w:start w:val="1"/>
      <w:numFmt w:val="lowerLetter"/>
      <w:lvlText w:val="%1."/>
      <w:lvlJc w:val="left"/>
      <w:pPr>
        <w:tabs>
          <w:tab w:val="left" w:pos="288"/>
        </w:tabs>
      </w:pPr>
      <w:rPr>
        <w:rFonts w:ascii="Times New Roman" w:eastAsia="Times New Roman" w:hAnsi="Times New Roman"/>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50B3F0A"/>
    <w:multiLevelType w:val="multilevel"/>
    <w:tmpl w:val="217E4280"/>
    <w:lvl w:ilvl="0">
      <w:start w:val="1"/>
      <w:numFmt w:val="lowerLetter"/>
      <w:lvlText w:val="%1."/>
      <w:lvlJc w:val="left"/>
      <w:pPr>
        <w:tabs>
          <w:tab w:val="left" w:pos="504"/>
        </w:tabs>
      </w:pPr>
      <w:rPr>
        <w:rFonts w:ascii="Times New Roman" w:eastAsia="Times New Roman" w:hAnsi="Times New Roman"/>
        <w:color w:val="0B0B0B"/>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D0A10EC"/>
    <w:multiLevelType w:val="multilevel"/>
    <w:tmpl w:val="9E30FDCA"/>
    <w:lvl w:ilvl="0">
      <w:start w:val="38"/>
      <w:numFmt w:val="decimal"/>
      <w:lvlText w:val="%1."/>
      <w:lvlJc w:val="left"/>
      <w:pPr>
        <w:tabs>
          <w:tab w:val="left" w:pos="504"/>
        </w:tabs>
      </w:pPr>
      <w:rPr>
        <w:rFonts w:ascii="Times New Roman" w:eastAsia="Times New Roman" w:hAnsi="Times New Roman"/>
        <w:color w:val="000000"/>
        <w:spacing w:val="-6"/>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25E583E"/>
    <w:multiLevelType w:val="multilevel"/>
    <w:tmpl w:val="FA04278A"/>
    <w:lvl w:ilvl="0">
      <w:numFmt w:val="bullet"/>
      <w:lvlText w:val="·"/>
      <w:lvlJc w:val="left"/>
      <w:pPr>
        <w:tabs>
          <w:tab w:val="left" w:pos="576"/>
        </w:tabs>
      </w:pPr>
      <w:rPr>
        <w:rFonts w:ascii="Symbol" w:eastAsia="Symbol" w:hAnsi="Symbol"/>
        <w:i/>
        <w:color w:val="000000"/>
        <w:spacing w:val="-7"/>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5F45783"/>
    <w:multiLevelType w:val="multilevel"/>
    <w:tmpl w:val="0FE2913E"/>
    <w:lvl w:ilvl="0">
      <w:start w:val="2"/>
      <w:numFmt w:val="decimal"/>
      <w:lvlText w:val="(%1)"/>
      <w:lvlJc w:val="left"/>
      <w:pPr>
        <w:tabs>
          <w:tab w:val="left" w:pos="504"/>
        </w:tabs>
      </w:pPr>
      <w:rPr>
        <w:rFonts w:ascii="Times New Roman" w:eastAsia="Times New Roman" w:hAnsi="Times New Roman"/>
        <w:i/>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33968B4"/>
    <w:multiLevelType w:val="multilevel"/>
    <w:tmpl w:val="F888254E"/>
    <w:lvl w:ilvl="0">
      <w:start w:val="9"/>
      <w:numFmt w:val="decimal"/>
      <w:lvlText w:val="%1."/>
      <w:lvlJc w:val="left"/>
      <w:pPr>
        <w:tabs>
          <w:tab w:val="left" w:pos="504"/>
        </w:tabs>
      </w:pPr>
      <w:rPr>
        <w:rFonts w:ascii="Times New Roman" w:eastAsia="Times New Roman" w:hAnsi="Times New Roman"/>
        <w:color w:val="000000"/>
        <w:spacing w:val="-3"/>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52354A8"/>
    <w:multiLevelType w:val="multilevel"/>
    <w:tmpl w:val="03ECCACE"/>
    <w:lvl w:ilvl="0">
      <w:start w:val="1"/>
      <w:numFmt w:val="lowerLetter"/>
      <w:lvlText w:val="(%1)"/>
      <w:lvlJc w:val="left"/>
      <w:pPr>
        <w:tabs>
          <w:tab w:val="left" w:pos="504"/>
        </w:tabs>
      </w:pPr>
      <w:rPr>
        <w:rFonts w:ascii="Times New Roman" w:eastAsia="Times New Roman" w:hAnsi="Times New Roman"/>
        <w:i/>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A39184E"/>
    <w:multiLevelType w:val="multilevel"/>
    <w:tmpl w:val="49AEFF1C"/>
    <w:lvl w:ilvl="0">
      <w:start w:val="27"/>
      <w:numFmt w:val="decimal"/>
      <w:lvlText w:val="%1."/>
      <w:lvlJc w:val="left"/>
      <w:pPr>
        <w:tabs>
          <w:tab w:val="left" w:pos="504"/>
        </w:tabs>
      </w:pPr>
      <w:rPr>
        <w:rFonts w:ascii="Times New Roman" w:eastAsia="Times New Roman" w:hAnsi="Times New Roman"/>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B300BEB"/>
    <w:multiLevelType w:val="multilevel"/>
    <w:tmpl w:val="D68446F2"/>
    <w:lvl w:ilvl="0">
      <w:start w:val="1"/>
      <w:numFmt w:val="decimal"/>
      <w:lvlText w:val="%1."/>
      <w:lvlJc w:val="left"/>
      <w:pPr>
        <w:tabs>
          <w:tab w:val="left" w:pos="504"/>
        </w:tabs>
      </w:pPr>
      <w:rPr>
        <w:rFonts w:ascii="Times New Roman" w:eastAsia="Times New Roman" w:hAnsi="Times New Roman"/>
        <w:color w:val="000000"/>
        <w:spacing w:val="-5"/>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9D54473"/>
    <w:multiLevelType w:val="multilevel"/>
    <w:tmpl w:val="3EFA8B62"/>
    <w:lvl w:ilvl="0">
      <w:start w:val="21"/>
      <w:numFmt w:val="decimal"/>
      <w:lvlText w:val="%1."/>
      <w:lvlJc w:val="left"/>
      <w:pPr>
        <w:tabs>
          <w:tab w:val="left" w:pos="576"/>
        </w:tabs>
      </w:pPr>
      <w:rPr>
        <w:rFonts w:ascii="Times New Roman" w:eastAsia="Times New Roman" w:hAnsi="Times New Roman"/>
        <w:color w:val="000000"/>
        <w:spacing w:val="-4"/>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F703617"/>
    <w:multiLevelType w:val="multilevel"/>
    <w:tmpl w:val="8EA496A8"/>
    <w:lvl w:ilvl="0">
      <w:start w:val="1"/>
      <w:numFmt w:val="lowerLetter"/>
      <w:lvlText w:val="(%1)"/>
      <w:lvlJc w:val="left"/>
      <w:pPr>
        <w:tabs>
          <w:tab w:val="left" w:pos="576"/>
        </w:tabs>
      </w:pPr>
      <w:rPr>
        <w:rFonts w:ascii="Times New Roman" w:eastAsia="Times New Roman" w:hAnsi="Times New Roman"/>
        <w:i/>
        <w:color w:val="000000"/>
        <w:spacing w:val="-7"/>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882180627">
    <w:abstractNumId w:val="12"/>
  </w:num>
  <w:num w:numId="2" w16cid:durableId="1800027373">
    <w:abstractNumId w:val="14"/>
  </w:num>
  <w:num w:numId="3" w16cid:durableId="1619025856">
    <w:abstractNumId w:val="9"/>
  </w:num>
  <w:num w:numId="4" w16cid:durableId="811287948">
    <w:abstractNumId w:val="2"/>
  </w:num>
  <w:num w:numId="5" w16cid:durableId="1450582836">
    <w:abstractNumId w:val="5"/>
  </w:num>
  <w:num w:numId="6" w16cid:durableId="1083993407">
    <w:abstractNumId w:val="13"/>
  </w:num>
  <w:num w:numId="7" w16cid:durableId="2132435537">
    <w:abstractNumId w:val="10"/>
  </w:num>
  <w:num w:numId="8" w16cid:durableId="686249794">
    <w:abstractNumId w:val="8"/>
  </w:num>
  <w:num w:numId="9" w16cid:durableId="899705013">
    <w:abstractNumId w:val="1"/>
  </w:num>
  <w:num w:numId="10" w16cid:durableId="1844659163">
    <w:abstractNumId w:val="0"/>
  </w:num>
  <w:num w:numId="11" w16cid:durableId="490291934">
    <w:abstractNumId w:val="11"/>
  </w:num>
  <w:num w:numId="12" w16cid:durableId="393310891">
    <w:abstractNumId w:val="7"/>
  </w:num>
  <w:num w:numId="13" w16cid:durableId="432746470">
    <w:abstractNumId w:val="3"/>
  </w:num>
  <w:num w:numId="14" w16cid:durableId="427040852">
    <w:abstractNumId w:val="4"/>
  </w:num>
  <w:num w:numId="15" w16cid:durableId="143852125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2B19"/>
    <w:rsid w:val="000A1D72"/>
    <w:rsid w:val="000B2073"/>
    <w:rsid w:val="00286931"/>
    <w:rsid w:val="00297684"/>
    <w:rsid w:val="00342F3C"/>
    <w:rsid w:val="00351E64"/>
    <w:rsid w:val="003C239D"/>
    <w:rsid w:val="0040420A"/>
    <w:rsid w:val="00424E92"/>
    <w:rsid w:val="004951C3"/>
    <w:rsid w:val="004A400D"/>
    <w:rsid w:val="005E7A91"/>
    <w:rsid w:val="00626CE5"/>
    <w:rsid w:val="00650C7B"/>
    <w:rsid w:val="006634D9"/>
    <w:rsid w:val="0078196B"/>
    <w:rsid w:val="00865972"/>
    <w:rsid w:val="008F518B"/>
    <w:rsid w:val="00A45A90"/>
    <w:rsid w:val="00AB2B19"/>
    <w:rsid w:val="00AE6FFB"/>
    <w:rsid w:val="00D03140"/>
    <w:rsid w:val="00D678B2"/>
    <w:rsid w:val="00D95528"/>
    <w:rsid w:val="00DD0554"/>
    <w:rsid w:val="00F2035B"/>
    <w:rsid w:val="00F970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562E1A"/>
  <w15:docId w15:val="{583C032B-D59D-491D-9B0A-3559D9615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2035B"/>
    <w:pPr>
      <w:spacing w:before="190" w:line="251" w:lineRule="exact"/>
      <w:textAlignment w:val="baseline"/>
      <w:outlineLvl w:val="0"/>
    </w:pPr>
    <w:rPr>
      <w:rFonts w:eastAsia="Times New Roman"/>
      <w:b/>
      <w:color w:val="000000"/>
      <w:spacing w:val="-5"/>
      <w:sz w:val="23"/>
    </w:rPr>
  </w:style>
  <w:style w:type="paragraph" w:styleId="Heading2">
    <w:name w:val="heading 2"/>
    <w:basedOn w:val="Normal"/>
    <w:next w:val="Normal"/>
    <w:link w:val="Heading2Char"/>
    <w:uiPriority w:val="9"/>
    <w:unhideWhenUsed/>
    <w:qFormat/>
    <w:rsid w:val="00F2035B"/>
    <w:pPr>
      <w:spacing w:before="162" w:line="313" w:lineRule="exact"/>
      <w:ind w:right="72"/>
      <w:textAlignment w:val="baseline"/>
      <w:outlineLvl w:val="1"/>
    </w:pPr>
    <w:rPr>
      <w:rFonts w:eastAsia="Times New Roman"/>
      <w: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518B"/>
    <w:pPr>
      <w:tabs>
        <w:tab w:val="center" w:pos="4513"/>
        <w:tab w:val="right" w:pos="9026"/>
      </w:tabs>
    </w:pPr>
  </w:style>
  <w:style w:type="character" w:customStyle="1" w:styleId="HeaderChar">
    <w:name w:val="Header Char"/>
    <w:basedOn w:val="DefaultParagraphFont"/>
    <w:link w:val="Header"/>
    <w:uiPriority w:val="99"/>
    <w:rsid w:val="008F518B"/>
  </w:style>
  <w:style w:type="paragraph" w:styleId="Footer">
    <w:name w:val="footer"/>
    <w:basedOn w:val="Normal"/>
    <w:link w:val="FooterChar"/>
    <w:uiPriority w:val="99"/>
    <w:unhideWhenUsed/>
    <w:rsid w:val="008F518B"/>
    <w:pPr>
      <w:tabs>
        <w:tab w:val="center" w:pos="4513"/>
        <w:tab w:val="right" w:pos="9026"/>
      </w:tabs>
    </w:pPr>
  </w:style>
  <w:style w:type="character" w:customStyle="1" w:styleId="FooterChar">
    <w:name w:val="Footer Char"/>
    <w:basedOn w:val="DefaultParagraphFont"/>
    <w:link w:val="Footer"/>
    <w:uiPriority w:val="99"/>
    <w:rsid w:val="008F518B"/>
  </w:style>
  <w:style w:type="paragraph" w:styleId="Title">
    <w:name w:val="Title"/>
    <w:basedOn w:val="Normal"/>
    <w:next w:val="Normal"/>
    <w:link w:val="TitleChar"/>
    <w:uiPriority w:val="10"/>
    <w:qFormat/>
    <w:rsid w:val="00F2035B"/>
    <w:pPr>
      <w:spacing w:before="590" w:line="340" w:lineRule="exact"/>
      <w:ind w:right="74"/>
      <w:jc w:val="center"/>
      <w:textAlignment w:val="baseline"/>
    </w:pPr>
    <w:rPr>
      <w:rFonts w:eastAsia="Times New Roman"/>
      <w:b/>
      <w:bCs/>
      <w:color w:val="000000"/>
      <w:spacing w:val="-4"/>
      <w:sz w:val="32"/>
      <w:szCs w:val="32"/>
    </w:rPr>
  </w:style>
  <w:style w:type="character" w:customStyle="1" w:styleId="TitleChar">
    <w:name w:val="Title Char"/>
    <w:basedOn w:val="DefaultParagraphFont"/>
    <w:link w:val="Title"/>
    <w:uiPriority w:val="10"/>
    <w:rsid w:val="00F2035B"/>
    <w:rPr>
      <w:rFonts w:eastAsia="Times New Roman"/>
      <w:b/>
      <w:bCs/>
      <w:color w:val="000000"/>
      <w:spacing w:val="-4"/>
      <w:sz w:val="32"/>
      <w:szCs w:val="32"/>
    </w:rPr>
  </w:style>
  <w:style w:type="character" w:customStyle="1" w:styleId="Heading1Char">
    <w:name w:val="Heading 1 Char"/>
    <w:basedOn w:val="DefaultParagraphFont"/>
    <w:link w:val="Heading1"/>
    <w:uiPriority w:val="9"/>
    <w:rsid w:val="00F2035B"/>
    <w:rPr>
      <w:rFonts w:eastAsia="Times New Roman"/>
      <w:b/>
      <w:color w:val="000000"/>
      <w:spacing w:val="-5"/>
      <w:sz w:val="23"/>
    </w:rPr>
  </w:style>
  <w:style w:type="character" w:customStyle="1" w:styleId="Heading2Char">
    <w:name w:val="Heading 2 Char"/>
    <w:basedOn w:val="DefaultParagraphFont"/>
    <w:link w:val="Heading2"/>
    <w:uiPriority w:val="9"/>
    <w:rsid w:val="00F2035B"/>
    <w:rPr>
      <w:rFonts w:eastAsia="Times New Roman"/>
      <w:i/>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fId" Type="http://schemas.openxmlformats.org/wordprocessingml/2006/fontTable" Target="fontTable0.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2.png"/><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01B2BE74D025469E1D0E28F10DD2C8" ma:contentTypeVersion="7" ma:contentTypeDescription="Create a new document." ma:contentTypeScope="" ma:versionID="bbaa3306f8e193bbb1141de76d53dcb2">
  <xsd:schema xmlns:xsd="http://www.w3.org/2001/XMLSchema" xmlns:xs="http://www.w3.org/2001/XMLSchema" xmlns:p="http://schemas.microsoft.com/office/2006/metadata/properties" xmlns:ns1="http://schemas.microsoft.com/sharepoint/v3" xmlns:ns2="b98728ac-f998-415c-abee-6b046fb1441e" xmlns:ns3="d869c146-c82e-4435-92e4-da91542262fd" xmlns:ns4="d81c2681-db7b-4a56-9abd-a3238a78f6b2" xmlns:ns5="e8238601-ce47-4778-85d0-8b1d6564965a" targetNamespace="http://schemas.microsoft.com/office/2006/metadata/properties" ma:root="true" ma:fieldsID="c610dd805081c060586117333ed60688" ns1:_="" ns2:_="" ns3:_="" ns4:_="" ns5:_="">
    <xsd:import namespace="http://schemas.microsoft.com/sharepoint/v3"/>
    <xsd:import namespace="b98728ac-f998-415c-abee-6b046fb1441e"/>
    <xsd:import namespace="d869c146-c82e-4435-92e4-da91542262fd"/>
    <xsd:import namespace="d81c2681-db7b-4a56-9abd-a3238a78f6b2"/>
    <xsd:import namespace="e8238601-ce47-4778-85d0-8b1d6564965a"/>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ServiceObjectDetectorVersions" minOccurs="0"/>
                <xsd:element ref="ns2:MediaLengthInSeconds" minOccurs="0"/>
                <xsd:element ref="ns2:MediaServiceSearchProperties" minOccurs="0"/>
                <xsd:element ref="ns1:_ip_UnifiedCompliancePolicyProperties" minOccurs="0"/>
                <xsd:element ref="ns1:_ip_UnifiedCompliancePolicyUIAction" minOccurs="0"/>
                <xsd:element ref="ns4:lcf76f155ced4ddcb4097134ff3c332f" minOccurs="0"/>
                <xsd:element ref="ns5:TaxCatchAll"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8728ac-f998-415c-abee-6b046fb14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69c146-c82e-4435-92e4-da91542262f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1c2681-db7b-4a56-9abd-a3238a78f6b2" elementFormDefault="qualified">
    <xsd:import namespace="http://schemas.microsoft.com/office/2006/documentManagement/types"/>
    <xsd:import namespace="http://schemas.microsoft.com/office/infopath/2007/PartnerControls"/>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238601-ce47-4778-85d0-8b1d6564965a"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63ff4dd4-e1ac-40df-be8e-b1e036f80c8e}" ma:internalName="TaxCatchAll" ma:showField="CatchAllData" ma:web="a95247a4-6a6b-40fb-87b6-0fb2f012c5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81c2681-db7b-4a56-9abd-a3238a78f6b2">
      <Terms xmlns="http://schemas.microsoft.com/office/infopath/2007/PartnerControls"/>
    </lcf76f155ced4ddcb4097134ff3c332f>
    <_ip_UnifiedCompliancePolicyUIAction xmlns="http://schemas.microsoft.com/sharepoint/v3" xsi:nil="true"/>
    <TaxCatchAll xmlns="e8238601-ce47-4778-85d0-8b1d6564965a" xsi:nil="true"/>
    <_ip_UnifiedCompliancePolicyProperties xmlns="http://schemas.microsoft.com/sharepoint/v3" xsi:nil="true"/>
    <MediaServiceGenerationTime xmlns="b98728ac-f998-415c-abee-6b046fb1441e" xsi:nil="true"/>
    <MediaServiceDateTaken xmlns="b98728ac-f998-415c-abee-6b046fb1441e" xsi:nil="true"/>
    <MediaServiceOCR xmlns="b98728ac-f998-415c-abee-6b046fb1441e" xsi:nil="true"/>
    <MediaServiceMetadata xmlns="b98728ac-f998-415c-abee-6b046fb1441e" xsi:nil="true"/>
    <MediaServiceFastMetadata xmlns="b98728ac-f998-415c-abee-6b046fb1441e" xsi:nil="true"/>
    <SharedWithUsers xmlns="d869c146-c82e-4435-92e4-da91542262fd">
      <UserInfo>
        <DisplayName/>
        <AccountId xsi:nil="true"/>
        <AccountType/>
      </UserInfo>
    </SharedWithUsers>
    <MediaServiceLocation xmlns="b98728ac-f998-415c-abee-6b046fb1441e" xsi:nil="true"/>
    <SharedWithDetails xmlns="d869c146-c82e-4435-92e4-da91542262fd" xsi:nil="true"/>
    <MediaServiceObjectDetectorVersions xmlns="b98728ac-f998-415c-abee-6b046fb1441e" xsi:nil="true"/>
    <MediaLengthInSeconds xmlns="b98728ac-f998-415c-abee-6b046fb1441e" xsi:nil="true"/>
    <MediaServiceSearchProperties xmlns="b98728ac-f998-415c-abee-6b046fb1441e" xsi:nil="true"/>
    <MediaServiceEventHashCode xmlns="b98728ac-f998-415c-abee-6b046fb1441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434D70B-D88A-44A1-984A-4EBF5EF77E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98728ac-f998-415c-abee-6b046fb1441e"/>
    <ds:schemaRef ds:uri="d869c146-c82e-4435-92e4-da91542262fd"/>
    <ds:schemaRef ds:uri="d81c2681-db7b-4a56-9abd-a3238a78f6b2"/>
    <ds:schemaRef ds:uri="e8238601-ce47-4778-85d0-8b1d656496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3001B6-1875-44BB-9718-77AC69E01EE1}">
  <ds:schemaRefs>
    <ds:schemaRef ds:uri="d869c146-c82e-4435-92e4-da91542262fd"/>
    <ds:schemaRef ds:uri="http://www.w3.org/XML/1998/namespace"/>
    <ds:schemaRef ds:uri="http://purl.org/dc/elements/1.1/"/>
    <ds:schemaRef ds:uri="http://purl.org/dc/terms/"/>
    <ds:schemaRef ds:uri="e8238601-ce47-4778-85d0-8b1d6564965a"/>
    <ds:schemaRef ds:uri="http://schemas.microsoft.com/office/2006/metadata/properties"/>
    <ds:schemaRef ds:uri="http://schemas.microsoft.com/office/infopath/2007/PartnerControls"/>
    <ds:schemaRef ds:uri="http://schemas.microsoft.com/office/2006/documentManagement/types"/>
    <ds:schemaRef ds:uri="http://schemas.openxmlformats.org/package/2006/metadata/core-properties"/>
    <ds:schemaRef ds:uri="http://purl.org/dc/dcmitype/"/>
    <ds:schemaRef ds:uri="d81c2681-db7b-4a56-9abd-a3238a78f6b2"/>
    <ds:schemaRef ds:uri="b98728ac-f998-415c-abee-6b046fb1441e"/>
    <ds:schemaRef ds:uri="http://schemas.microsoft.com/sharepoint/v3"/>
  </ds:schemaRefs>
</ds:datastoreItem>
</file>

<file path=customXml/itemProps3.xml><?xml version="1.0" encoding="utf-8"?>
<ds:datastoreItem xmlns:ds="http://schemas.openxmlformats.org/officeDocument/2006/customXml" ds:itemID="{C30C0A76-5FBE-46CF-8E1F-72AB1FF0E2A4}">
  <ds:schemaRefs>
    <ds:schemaRef ds:uri="http://schemas.microsoft.com/sharepoint/v3/contenttype/forms"/>
  </ds:schemaRefs>
</ds:datastoreItem>
</file>

<file path=docMetadata/LabelInfo.xml><?xml version="1.0" encoding="utf-8"?>
<clbl:labelList xmlns:clbl="http://schemas.microsoft.com/office/2020/mipLabelMetadata">
  <clbl:label id="{2e6ba7ff-9897-4e65-9803-3be34fd9cf5a}" enabled="1" method="Privileged" siteId="{8c3c81bc-2b3c-44af-b3f7-6f620b3910ee}" contentBits="3" removed="0"/>
</clbl:labelList>
</file>

<file path=docProps/app.xml><?xml version="1.0" encoding="utf-8"?>
<Properties xmlns="http://schemas.openxmlformats.org/officeDocument/2006/extended-properties" xmlns:vt="http://schemas.openxmlformats.org/officeDocument/2006/docPropsVTypes">
  <Template>Normal</Template>
  <TotalTime>8</TotalTime>
  <Pages>11</Pages>
  <Words>3861</Words>
  <Characters>20661</Characters>
  <Application>Microsoft Office Word</Application>
  <DocSecurity>0</DocSecurity>
  <Lines>368</Lines>
  <Paragraphs>131</Paragraphs>
  <ScaleCrop>false</ScaleCrop>
  <HeadingPairs>
    <vt:vector size="2" baseType="variant">
      <vt:variant>
        <vt:lpstr>Title</vt:lpstr>
      </vt:variant>
      <vt:variant>
        <vt:i4>1</vt:i4>
      </vt:variant>
    </vt:vector>
  </HeadingPairs>
  <TitlesOfParts>
    <vt:vector size="1" baseType="lpstr">
      <vt:lpstr>Statement of reasons – Alcoa</vt:lpstr>
    </vt:vector>
  </TitlesOfParts>
  <Company/>
  <LinksUpToDate>false</LinksUpToDate>
  <CharactersWithSpaces>24391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Statement of reasons – Alcoa</dc:title>
  <dc:creator>Commonwealth Government</dc:creator>
  <cp:lastModifiedBy>Louise COWIE</cp:lastModifiedBy>
  <cp:revision>4</cp:revision>
  <dcterms:created xsi:type="dcterms:W3CDTF">2026-02-19T23:46:00Z</dcterms:created>
  <dcterms:modified xsi:type="dcterms:W3CDTF">2026-02-20T00:42:00Z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11e24926,213c1a74,27dc2cdd</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7561215b,4b17802c,197f21d7</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ContentTypeId">
    <vt:lpwstr>0x010100D001B2BE74D025469E1D0E28F10DD2C8</vt:lpwstr>
  </property>
  <property fmtid="{D5CDD505-2E9C-101B-9397-08002B2CF9AE}" pid="9" name="MediaServiceImageTags">
    <vt:lpwstr/>
  </property>
  <property fmtid="{D5CDD505-2E9C-101B-9397-08002B2CF9AE}" pid="10" name="Record_x0020_Classification">
    <vt:lpwstr/>
  </property>
  <property fmtid="{D5CDD505-2E9C-101B-9397-08002B2CF9AE}" pid="11" name="h64465b6520a47a58f1168c7a3f04764">
    <vt:lpwstr/>
  </property>
  <property fmtid="{D5CDD505-2E9C-101B-9397-08002B2CF9AE}" pid="12" name="Record Classification">
    <vt:lpwstr/>
  </property>
</Properties>
</file>